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粗黑宋简体" w:hAnsi="方正粗黑宋简体" w:eastAsia="方正粗黑宋简体" w:cs="方正粗黑宋简体"/>
          <w:color w:val="000000"/>
          <w:kern w:val="0"/>
          <w:sz w:val="32"/>
          <w:szCs w:val="32"/>
        </w:rPr>
      </w:pPr>
      <w:r>
        <w:rPr>
          <w:rFonts w:hint="eastAsia" w:ascii="黑体" w:hAnsi="黑体" w:eastAsia="黑体" w:cs="黑体"/>
          <w:color w:val="000000"/>
          <w:kern w:val="0"/>
          <w:sz w:val="32"/>
          <w:szCs w:val="32"/>
        </w:rPr>
        <w:t>附件</w:t>
      </w:r>
      <w:bookmarkStart w:id="0" w:name="_Toc24724704"/>
      <w:r>
        <w:rPr>
          <w:rFonts w:hint="eastAsia" w:ascii="黑体" w:hAnsi="黑体" w:eastAsia="黑体" w:cs="黑体"/>
          <w:color w:val="000000"/>
          <w:kern w:val="0"/>
          <w:sz w:val="32"/>
          <w:szCs w:val="32"/>
        </w:rPr>
        <w:t xml:space="preserve">二             </w:t>
      </w:r>
    </w:p>
    <w:p>
      <w:pPr>
        <w:widowControl/>
        <w:jc w:val="center"/>
        <w:rPr>
          <w:rFonts w:ascii="方正小标宋_GBK" w:hAnsi="方正小标宋_GBK" w:eastAsia="方正小标宋_GBK"/>
          <w:sz w:val="30"/>
        </w:rPr>
      </w:pPr>
      <w:r>
        <w:rPr>
          <w:rFonts w:hint="eastAsia" w:ascii="方正粗黑宋简体" w:hAnsi="方正粗黑宋简体" w:eastAsia="方正粗黑宋简体" w:cs="方正粗黑宋简体"/>
          <w:sz w:val="32"/>
          <w:szCs w:val="32"/>
          <w:lang w:eastAsia="zh-CN"/>
        </w:rPr>
        <w:t>金林区公共文化服务</w:t>
      </w:r>
      <w:r>
        <w:rPr>
          <w:rFonts w:hint="eastAsia" w:ascii="方正粗黑宋简体" w:hAnsi="方正粗黑宋简体" w:eastAsia="方正粗黑宋简体" w:cs="方正粗黑宋简体"/>
          <w:sz w:val="32"/>
          <w:szCs w:val="32"/>
        </w:rPr>
        <w:t>领域基层政务公开标准目录</w:t>
      </w:r>
      <w:bookmarkEnd w:id="0"/>
    </w:p>
    <w:tbl>
      <w:tblPr>
        <w:tblStyle w:val="4"/>
        <w:tblW w:w="16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公开事项名称</w:t>
            </w:r>
          </w:p>
        </w:tc>
        <w:tc>
          <w:tcPr>
            <w:tcW w:w="2173"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noWrap/>
            <w:vAlign w:val="center"/>
          </w:tcPr>
          <w:p>
            <w:pPr>
              <w:widowControl/>
              <w:tabs>
                <w:tab w:val="left" w:pos="441"/>
              </w:tabs>
              <w:jc w:val="left"/>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ign w:val="center"/>
          </w:tcPr>
          <w:p>
            <w:pPr>
              <w:widowControl/>
              <w:jc w:val="left"/>
              <w:rPr>
                <w:rFonts w:ascii="Times New Roman" w:hAnsi="Times New Roman" w:eastAsia="黑体"/>
                <w:color w:val="000000"/>
                <w:kern w:val="0"/>
                <w:sz w:val="15"/>
                <w:szCs w:val="15"/>
              </w:rPr>
            </w:pPr>
          </w:p>
        </w:tc>
        <w:tc>
          <w:tcPr>
            <w:tcW w:w="90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color w:val="000000"/>
                <w:kern w:val="0"/>
                <w:sz w:val="22"/>
              </w:rPr>
            </w:pPr>
          </w:p>
        </w:tc>
        <w:tc>
          <w:tcPr>
            <w:tcW w:w="1080"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kern w:val="0"/>
                <w:sz w:val="22"/>
              </w:rPr>
            </w:pP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01" w:type="dxa"/>
            <w:noWrap/>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区级</w:t>
            </w:r>
          </w:p>
        </w:tc>
        <w:tc>
          <w:tcPr>
            <w:tcW w:w="601" w:type="dxa"/>
            <w:noWrap/>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对非物质文化遗产保护中作出突出贡献的组织或个人给予奖励</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bookmarkStart w:id="1" w:name="_GoBack"/>
            <w:bookmarkEnd w:id="1"/>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noWrap/>
            <w:vAlign w:val="center"/>
          </w:tcPr>
          <w:p>
            <w:pPr>
              <w:spacing w:line="240" w:lineRule="exact"/>
              <w:jc w:val="center"/>
              <w:rPr>
                <w:rFonts w:ascii="仿宋_GB2312" w:hAnsi="Times New Roman" w:eastAsia="仿宋_GB2312"/>
                <w:sz w:val="18"/>
                <w:szCs w:val="18"/>
              </w:rPr>
            </w:pPr>
          </w:p>
          <w:p>
            <w:pPr>
              <w:spacing w:line="240" w:lineRule="exact"/>
              <w:jc w:val="center"/>
            </w:pPr>
            <w:r>
              <w:rPr>
                <w:rFonts w:hint="eastAsia" w:ascii="仿宋_GB2312" w:hAnsi="Times New Roman" w:eastAsia="仿宋_GB2312"/>
                <w:sz w:val="18"/>
                <w:szCs w:val="18"/>
              </w:rPr>
              <w:t>县级文物保护单位认定</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p>
        </w:tc>
        <w:tc>
          <w:tcPr>
            <w:tcW w:w="720" w:type="dxa"/>
            <w:noWrap/>
            <w:vAlign w:val="center"/>
          </w:tcPr>
          <w:p>
            <w:pPr>
              <w:spacing w:line="240" w:lineRule="exact"/>
              <w:jc w:val="left"/>
              <w:rPr>
                <w:rFonts w:ascii="Times New Roman" w:hAnsi="Times New Roman"/>
                <w:sz w:val="15"/>
                <w:szCs w:val="15"/>
              </w:rPr>
            </w:pPr>
          </w:p>
        </w:tc>
        <w:tc>
          <w:tcPr>
            <w:tcW w:w="540" w:type="dxa"/>
            <w:noWrap/>
            <w:vAlign w:val="center"/>
          </w:tcPr>
          <w:p>
            <w:pPr>
              <w:spacing w:line="240" w:lineRule="exact"/>
              <w:jc w:val="center"/>
              <w:rPr>
                <w:rFonts w:ascii="Times New Roman" w:hAnsi="Times New Roman"/>
                <w:sz w:val="30"/>
                <w:szCs w:val="30"/>
              </w:rPr>
            </w:pP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tcBorders>
              <w:bottom w:val="single" w:color="auto" w:sz="4" w:space="0"/>
            </w:tcBorders>
            <w:noWrap/>
            <w:vAlign w:val="center"/>
          </w:tcPr>
          <w:p>
            <w:pPr>
              <w:spacing w:line="240" w:lineRule="exact"/>
              <w:ind w:firstLine="261"/>
              <w:rPr>
                <w:rFonts w:ascii="仿宋_GB2312" w:hAnsi="宋体" w:eastAsia="仿宋_GB2312"/>
                <w:sz w:val="18"/>
                <w:szCs w:val="18"/>
              </w:rPr>
            </w:pPr>
            <w:r>
              <w:rPr>
                <w:rFonts w:hint="eastAsia" w:ascii="仿宋_GB2312" w:hAnsi="宋体" w:eastAsia="仿宋_GB2312"/>
                <w:sz w:val="18"/>
                <w:szCs w:val="18"/>
              </w:rPr>
              <w:t>非物质文化遗产代表性项目及传承人、传习所（基地）、生产性保护示范基地、研究基地、教育基地、生态保护区的评审认定</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85" w:type="dxa"/>
            <w:tcBorders>
              <w:right w:val="single" w:color="auto" w:sz="4" w:space="0"/>
            </w:tcBorders>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县级可移动文物认定</w:t>
            </w:r>
          </w:p>
        </w:tc>
        <w:tc>
          <w:tcPr>
            <w:tcW w:w="887" w:type="dxa"/>
            <w:tcBorders>
              <w:left w:val="single" w:color="auto" w:sz="4" w:space="0"/>
            </w:tcBorders>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tcBorders>
              <w:top w:val="single" w:color="auto" w:sz="4" w:space="0"/>
            </w:tcBorders>
            <w:noWrap/>
            <w:vAlign w:val="center"/>
          </w:tcPr>
          <w:p>
            <w:pPr>
              <w:spacing w:line="240" w:lineRule="exact"/>
              <w:ind w:firstLine="471"/>
              <w:rPr>
                <w:rFonts w:ascii="仿宋_GB2312" w:hAnsi="宋体" w:eastAsia="仿宋_GB2312"/>
                <w:sz w:val="18"/>
                <w:szCs w:val="18"/>
              </w:rPr>
            </w:pPr>
            <w:r>
              <w:rPr>
                <w:rFonts w:hint="eastAsia" w:ascii="仿宋_GB2312" w:hAnsi="宋体" w:eastAsia="仿宋_GB2312"/>
                <w:sz w:val="18"/>
                <w:szCs w:val="18"/>
              </w:rPr>
              <w:t>三级社会体育指导员技术等级称号授予确认</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三级裁判员技术等级称号授予确认</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县区级体育类社会团体（变更、注销）</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tabs>
                <w:tab w:val="left" w:pos="336"/>
              </w:tabs>
              <w:spacing w:line="240" w:lineRule="exact"/>
              <w:ind w:left="180" w:hanging="180" w:hangingChars="100"/>
              <w:jc w:val="left"/>
              <w:rPr>
                <w:rFonts w:ascii="仿宋_GB2312" w:hAnsi="Times New Roman" w:eastAsia="仿宋_GB2312"/>
                <w:sz w:val="18"/>
                <w:szCs w:val="18"/>
              </w:rPr>
            </w:pPr>
            <w:r>
              <w:rPr>
                <w:rFonts w:hint="eastAsia" w:ascii="仿宋_GB2312" w:hAnsi="Times New Roman" w:eastAsia="仿宋_GB2312"/>
                <w:sz w:val="18"/>
                <w:szCs w:val="18"/>
              </w:rPr>
              <w:tab/>
            </w:r>
            <w:r>
              <w:rPr>
                <w:rFonts w:hint="eastAsia" w:ascii="仿宋_GB2312" w:hAnsi="Times New Roman" w:eastAsia="仿宋_GB2312"/>
                <w:sz w:val="18"/>
                <w:szCs w:val="18"/>
              </w:rPr>
              <w:t>8</w:t>
            </w:r>
          </w:p>
        </w:tc>
        <w:tc>
          <w:tcPr>
            <w:tcW w:w="900" w:type="dxa"/>
            <w:noWrap/>
            <w:vAlign w:val="center"/>
          </w:tcPr>
          <w:p>
            <w:pPr>
              <w:spacing w:line="240" w:lineRule="exact"/>
              <w:ind w:firstLine="351"/>
              <w:rPr>
                <w:rFonts w:ascii="仿宋_GB2312" w:hAnsi="宋体" w:eastAsia="仿宋_GB2312"/>
                <w:sz w:val="18"/>
                <w:szCs w:val="18"/>
              </w:rPr>
            </w:pPr>
            <w:r>
              <w:rPr>
                <w:rFonts w:hint="eastAsia" w:ascii="仿宋_GB2312" w:hAnsi="宋体" w:eastAsia="仿宋_GB2312"/>
                <w:sz w:val="18"/>
                <w:szCs w:val="18"/>
              </w:rPr>
              <w:t>设立从事艺术品经营活动的单位或其他经营单位增设艺术品经营业务备案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尚未核定公布为文物保护单位的不可移动文物登记</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noWrap/>
            <w:vAlign w:val="center"/>
          </w:tcPr>
          <w:p>
            <w:pPr>
              <w:spacing w:line="240" w:lineRule="exact"/>
              <w:ind w:firstLine="276"/>
              <w:rPr>
                <w:rFonts w:ascii="仿宋_GB2312" w:hAnsi="宋体" w:eastAsia="仿宋_GB2312"/>
                <w:sz w:val="18"/>
                <w:szCs w:val="18"/>
              </w:rPr>
            </w:pPr>
            <w:r>
              <w:rPr>
                <w:rFonts w:hint="eastAsia" w:ascii="仿宋_GB2312" w:hAnsi="宋体" w:eastAsia="仿宋_GB2312"/>
                <w:sz w:val="18"/>
                <w:szCs w:val="18"/>
              </w:rPr>
              <w:t>个体演员、个体演出经纪人备案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县级文物保护单位和不可移动文物经营性活动方案备案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互联网上网服务营业场所经营单位变更名称、住所、法定代表人或者主要负责人、注册资本、网络地址或者终止经营活动的备案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营业性演出活动（国内）备案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非国有不可移动文物转让、抵押或者改变用途的备案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社会艺术水平考级考试相关情况备案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设立演出场所经营单位备案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三级运动员等级称号授予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非高危险性体育项目经营活动备案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权限内文物保护单位保护范围内进行其他建设工程或者爆破、钻探、挖掘等作业审批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文艺表演团体设立审批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文艺表演团体变更名称、住所、法定代表人或者主要负责人、营业性演出经营项目审批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非物质文化遗产代表性项目集中、特色鲜明、形式和内涵保持完整的特定区域专项保护规划审批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互联网上网服务营业场所经营单位变更营业场所地址或者对营业场所进行改建、扩建，变更计算机数量或者其他重要事项审批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县级文物保护单位原址保护措施审批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娱乐场所设立审批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举办健身气功活动或设立健身气功站点审批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经营高危险性体育项目审批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娱乐场所改建、扩建营业场所或者变更场地、主要设施设备、投资人员，或者变更娱乐经营许可证载明的事项审批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旅行社分社设立备案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旅行社分社经营范围变更备案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旅行社分社经营场所变更备案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旅行社分社名称变更备案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旅行社分社备案登记证明补办</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县级文物保护工程竣工验收审核</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权限内文物保护单位建设控制地带内进行建设工程设计方案审批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权限内文物保护单位修缮审批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900" w:type="dxa"/>
            <w:noWrap/>
            <w:vAlign w:val="center"/>
          </w:tcPr>
          <w:p>
            <w:pPr>
              <w:spacing w:line="240" w:lineRule="exact"/>
              <w:ind w:firstLine="306"/>
              <w:rPr>
                <w:rFonts w:ascii="仿宋_GB2312" w:hAnsi="宋体" w:eastAsia="仿宋_GB2312"/>
                <w:sz w:val="18"/>
                <w:szCs w:val="18"/>
              </w:rPr>
            </w:pPr>
            <w:r>
              <w:rPr>
                <w:rFonts w:hint="eastAsia" w:ascii="仿宋_GB2312" w:hAnsi="宋体" w:eastAsia="仿宋_GB2312"/>
                <w:sz w:val="18"/>
                <w:szCs w:val="18"/>
              </w:rPr>
              <w:t>营业性演出审批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900" w:type="dxa"/>
            <w:noWrap/>
            <w:vAlign w:val="center"/>
          </w:tcPr>
          <w:p>
            <w:pPr>
              <w:spacing w:line="240" w:lineRule="exact"/>
              <w:ind w:firstLine="306"/>
              <w:rPr>
                <w:rFonts w:ascii="仿宋_GB2312" w:hAnsi="宋体" w:eastAsia="仿宋_GB2312"/>
                <w:sz w:val="18"/>
                <w:szCs w:val="18"/>
              </w:rPr>
            </w:pPr>
            <w:r>
              <w:rPr>
                <w:rFonts w:hint="eastAsia" w:ascii="仿宋_GB2312" w:hAnsi="宋体" w:eastAsia="仿宋_GB2312"/>
                <w:sz w:val="18"/>
                <w:szCs w:val="18"/>
              </w:rPr>
              <w:t>受理旅游投诉举报服务</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39</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2.开放时间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3.机构地址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2700" w:type="dxa"/>
            <w:noWrap/>
            <w:vAlign w:val="center"/>
          </w:tcPr>
          <w:p>
            <w:pPr>
              <w:rPr>
                <w:rFonts w:ascii="仿宋_GB2312" w:hAnsi="Times New Roman" w:eastAsia="仿宋_GB2312"/>
                <w:sz w:val="18"/>
                <w:szCs w:val="18"/>
              </w:rPr>
            </w:pPr>
            <w:r>
              <w:rPr>
                <w:rFonts w:hint="eastAsia" w:ascii="仿宋" w:hAnsi="仿宋" w:eastAsia="仿宋" w:cs="仿宋"/>
                <w:sz w:val="18"/>
                <w:szCs w:val="18"/>
              </w:rPr>
              <w:t>《政府信息公开条例》，《文化部财政部关于推进全国美术馆、公共图书馆、文化馆（站）免费开放工作的意见》，《文化部财政部关于做好城市社区（街道）文化中心免费开放工作的通知》</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40</w:t>
            </w:r>
          </w:p>
        </w:tc>
        <w:tc>
          <w:tcPr>
            <w:tcW w:w="900" w:type="dxa"/>
            <w:noWrap/>
            <w:vAlign w:val="center"/>
          </w:tcPr>
          <w:p>
            <w:pPr>
              <w:spacing w:line="240" w:lineRule="exact"/>
              <w:rPr>
                <w:rFonts w:ascii="仿宋_GB2312" w:hAnsi="宋体"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2.开放时间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3.机构地址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2700" w:type="dxa"/>
            <w:noWrap/>
            <w:vAlign w:val="center"/>
          </w:tcPr>
          <w:p>
            <w:pPr>
              <w:spacing w:line="240" w:lineRule="exact"/>
              <w:rPr>
                <w:rFonts w:eastAsia="仿宋"/>
              </w:rPr>
            </w:pPr>
            <w:r>
              <w:rPr>
                <w:rFonts w:hint="eastAsia" w:ascii="仿宋" w:hAnsi="仿宋" w:eastAsia="仿宋" w:cs="仿宋"/>
                <w:sz w:val="18"/>
                <w:szCs w:val="18"/>
              </w:rPr>
              <w:t>《政府信息公开条例》，《文化馆服务标准》</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41</w:t>
            </w:r>
          </w:p>
        </w:tc>
        <w:tc>
          <w:tcPr>
            <w:tcW w:w="900" w:type="dxa"/>
            <w:noWrap/>
            <w:vAlign w:val="center"/>
          </w:tcPr>
          <w:p>
            <w:pPr>
              <w:spacing w:line="240" w:lineRule="exact"/>
              <w:rPr>
                <w:rFonts w:ascii="仿宋_GB2312" w:hAnsi="宋体"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2.活动单位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3.活动地址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《政府信息公开条例》，</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42</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2.培训单位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3培训地址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《政府信息公开条例》，《文化馆服务标准》</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43</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2.活动单位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3.活动地址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《非物质文化遗产法》、《政府信息公开条例》</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r>
              <w:rPr>
                <w:rFonts w:hint="eastAsia" w:ascii="楷体" w:hAnsi="楷体" w:eastAsia="楷体" w:cs="楷体"/>
                <w:szCs w:val="21"/>
              </w:rPr>
              <w:t>✓</w:t>
            </w: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ZWEzYTIzYzdjNjkyZmM3MWU5YjEzZjZjZWFiNDcifQ=="/>
  </w:docVars>
  <w:rsids>
    <w:rsidRoot w:val="26521B7B"/>
    <w:rsid w:val="000F7E2B"/>
    <w:rsid w:val="002D0B95"/>
    <w:rsid w:val="007F2B05"/>
    <w:rsid w:val="008D7A66"/>
    <w:rsid w:val="00A61E3C"/>
    <w:rsid w:val="00BC7185"/>
    <w:rsid w:val="00CA5DAC"/>
    <w:rsid w:val="00D22C57"/>
    <w:rsid w:val="00DA1043"/>
    <w:rsid w:val="00F12232"/>
    <w:rsid w:val="00F310FE"/>
    <w:rsid w:val="00FB2B51"/>
    <w:rsid w:val="00FC606A"/>
    <w:rsid w:val="03CE1B50"/>
    <w:rsid w:val="143E5B27"/>
    <w:rsid w:val="19D841EA"/>
    <w:rsid w:val="24365BE4"/>
    <w:rsid w:val="26521B7B"/>
    <w:rsid w:val="34D90A26"/>
    <w:rsid w:val="49820C7E"/>
    <w:rsid w:val="5E9E3606"/>
    <w:rsid w:val="741A6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6032</Words>
  <Characters>6095</Characters>
  <Lines>49</Lines>
  <Paragraphs>14</Paragraphs>
  <TotalTime>1</TotalTime>
  <ScaleCrop>false</ScaleCrop>
  <LinksUpToDate>false</LinksUpToDate>
  <CharactersWithSpaces>6352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2020-10-21T08:07:00Z</dcterms:created>
  <dc:creator>天才大儿童</dc:creator>
  <cp:lastModifiedBy>WPS_1569305028</cp:lastModifiedBy>
  <dcterms:modified xsi:type="dcterms:W3CDTF">2024-07-09T02:13:38Z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612785908_btnclosed</vt:lpwstr>
  </property>
  <property fmtid="{D5CDD505-2E9C-101B-9397-08002B2CF9AE}" pid="4" name="ICV">
    <vt:lpwstr>B946DE817F654D189D5A0798F64C0013_12</vt:lpwstr>
  </property>
</Properties>
</file>