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金林区人民政府</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color w:val="000000"/>
          <w:sz w:val="32"/>
          <w:szCs w:val="32"/>
          <w:shd w:val="clear" w:color="auto" w:fill="FFFFFF"/>
          <w:lang w:eastAsia="zh-CN"/>
        </w:rPr>
      </w:pPr>
      <w:r>
        <w:rPr>
          <w:rFonts w:hint="eastAsia" w:ascii="方正小标宋简体" w:hAnsi="方正小标宋简体" w:eastAsia="方正小标宋简体" w:cs="方正小标宋简体"/>
          <w:b/>
          <w:bCs/>
          <w:sz w:val="44"/>
          <w:szCs w:val="44"/>
          <w:lang w:val="en-US" w:eastAsia="zh-CN"/>
        </w:rPr>
        <w:t>2022</w:t>
      </w:r>
      <w:r>
        <w:rPr>
          <w:rFonts w:hint="eastAsia" w:ascii="方正小标宋简体" w:hAnsi="方正小标宋简体" w:eastAsia="方正小标宋简体" w:cs="方正小标宋简体"/>
          <w:sz w:val="44"/>
          <w:szCs w:val="44"/>
          <w:lang w:val="en-US" w:eastAsia="zh-CN"/>
        </w:rPr>
        <w:t>年政府信息公开工作年度报告</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b w:val="0"/>
          <w:bCs w:val="0"/>
          <w:color w:val="000000"/>
          <w:sz w:val="32"/>
          <w:szCs w:val="32"/>
          <w:shd w:val="clear" w:color="auto" w:fill="FFFFFF"/>
          <w:lang w:eastAsia="zh-CN"/>
        </w:rPr>
      </w:pPr>
      <w:r>
        <w:rPr>
          <w:rFonts w:hint="default" w:ascii="Times New Roman" w:hAnsi="Times New Roman" w:eastAsia="仿宋_GB2312" w:cs="Times New Roman"/>
          <w:b w:val="0"/>
          <w:bCs w:val="0"/>
          <w:color w:val="000000"/>
          <w:sz w:val="32"/>
          <w:szCs w:val="32"/>
          <w:shd w:val="clear" w:color="auto" w:fill="FFFFFF"/>
          <w:lang w:eastAsia="zh-CN"/>
        </w:rPr>
        <w:drawing>
          <wp:inline distT="0" distB="0" distL="114300" distR="114300">
            <wp:extent cx="6142355" cy="3762375"/>
            <wp:effectExtent l="0" t="0" r="10795" b="9525"/>
            <wp:docPr id="5" name="图片 5" descr="微信图片_2023011010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110103033"/>
                    <pic:cNvPicPr>
                      <a:picLocks noChangeAspect="1"/>
                    </pic:cNvPicPr>
                  </pic:nvPicPr>
                  <pic:blipFill>
                    <a:blip r:embed="rId5"/>
                    <a:srcRect b="2970"/>
                    <a:stretch>
                      <a:fillRect/>
                    </a:stretch>
                  </pic:blipFill>
                  <pic:spPr>
                    <a:xfrm>
                      <a:off x="0" y="0"/>
                      <a:ext cx="6142355" cy="3762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lang w:val="en-US" w:eastAsia="zh-CN"/>
        </w:rPr>
      </w:pPr>
      <w:r>
        <w:rPr>
          <w:rFonts w:hint="default" w:ascii="Times New Roman" w:hAnsi="Times New Roman" w:eastAsia="仿宋_GB2312" w:cs="Times New Roman"/>
          <w:b w:val="0"/>
          <w:bCs w:val="0"/>
          <w:color w:val="000000"/>
          <w:sz w:val="32"/>
          <w:szCs w:val="32"/>
          <w:shd w:val="clear" w:color="auto" w:fill="FFFFFF"/>
          <w:lang w:eastAsia="zh-CN"/>
        </w:rPr>
        <w:t>本报告</w:t>
      </w:r>
      <w:r>
        <w:rPr>
          <w:rFonts w:hint="default" w:ascii="Times New Roman" w:hAnsi="Times New Roman" w:eastAsia="仿宋_GB2312" w:cs="Times New Roman"/>
          <w:b w:val="0"/>
          <w:bCs w:val="0"/>
          <w:color w:val="000000"/>
          <w:sz w:val="32"/>
          <w:szCs w:val="32"/>
          <w:shd w:val="clear" w:color="auto" w:fill="FFFFFF"/>
        </w:rPr>
        <w:t>根据《中华人民共和国政府信息公开条例》</w:t>
      </w:r>
      <w:r>
        <w:rPr>
          <w:rFonts w:hint="default" w:ascii="Times New Roman" w:hAnsi="Times New Roman" w:eastAsia="仿宋_GB2312" w:cs="Times New Roman"/>
          <w:b w:val="0"/>
          <w:bCs w:val="0"/>
          <w:i w:val="0"/>
          <w:color w:val="000000"/>
          <w:sz w:val="32"/>
          <w:szCs w:val="32"/>
          <w:shd w:val="clear" w:color="auto" w:fill="FFFFFF"/>
          <w:lang w:eastAsia="zh-CN"/>
        </w:rPr>
        <w:t>(以下简称《条例》)规定</w:t>
      </w:r>
      <w:r>
        <w:rPr>
          <w:rFonts w:hint="eastAsia" w:ascii="仿宋_GB2312" w:hAnsi="仿宋_GB2312" w:eastAsia="仿宋_GB2312" w:cs="仿宋_GB2312"/>
          <w:i w:val="0"/>
          <w:iCs w:val="0"/>
          <w:caps w:val="0"/>
          <w:color w:val="auto"/>
          <w:spacing w:val="0"/>
          <w:sz w:val="32"/>
          <w:szCs w:val="32"/>
          <w:shd w:val="clear" w:fill="FFFFFF"/>
        </w:rPr>
        <w:t>和国务院办公厅政府信息与政务公开办公室关于印发《中华人民共和国政府信息公开工作年度报告格式》的通知（国办公开办函〔2021〕30号，以下简称《通知》）要求，</w:t>
      </w:r>
      <w:r>
        <w:rPr>
          <w:rFonts w:hint="default" w:ascii="Times New Roman" w:hAnsi="Times New Roman" w:eastAsia="仿宋_GB2312" w:cs="Times New Roman"/>
          <w:b w:val="0"/>
          <w:bCs w:val="0"/>
          <w:i w:val="0"/>
          <w:color w:val="000000"/>
          <w:sz w:val="32"/>
          <w:szCs w:val="32"/>
          <w:shd w:val="clear" w:color="auto" w:fill="FFFFFF"/>
          <w:lang w:eastAsia="zh-CN"/>
        </w:rPr>
        <w:t>由金林区人民政府办公室编制而成。全文包括总体情况，主动公开政府信息情况，收到和处理政府信息公开和申请情况，因政府信息公开申请行政复议、提起行政诉讼情况，存在的主要问题及改进情况等内容。本报告中所列数据的统计时限自</w:t>
      </w:r>
      <w:r>
        <w:rPr>
          <w:rFonts w:hint="default" w:ascii="Times New Roman" w:hAnsi="Times New Roman" w:eastAsia="仿宋_GB2312" w:cs="Times New Roman"/>
          <w:b w:val="0"/>
          <w:bCs w:val="0"/>
          <w:i w:val="0"/>
          <w:color w:val="000000"/>
          <w:sz w:val="32"/>
          <w:szCs w:val="32"/>
          <w:shd w:val="clear" w:color="auto" w:fill="FFFFFF"/>
          <w:lang w:val="en-US" w:eastAsia="zh-CN"/>
        </w:rPr>
        <w:t>20</w:t>
      </w:r>
      <w:r>
        <w:rPr>
          <w:rFonts w:hint="eastAsia" w:ascii="Times New Roman" w:hAnsi="Times New Roman" w:eastAsia="仿宋_GB2312" w:cs="Times New Roman"/>
          <w:b w:val="0"/>
          <w:bCs w:val="0"/>
          <w:i w:val="0"/>
          <w:color w:val="000000"/>
          <w:sz w:val="32"/>
          <w:szCs w:val="32"/>
          <w:shd w:val="clear" w:color="auto" w:fill="FFFFFF"/>
          <w:lang w:val="en-US" w:eastAsia="zh-CN"/>
        </w:rPr>
        <w:t>22</w:t>
      </w:r>
      <w:r>
        <w:rPr>
          <w:rFonts w:hint="default" w:ascii="Times New Roman" w:hAnsi="Times New Roman" w:eastAsia="仿宋_GB2312" w:cs="Times New Roman"/>
          <w:b w:val="0"/>
          <w:bCs w:val="0"/>
          <w:i w:val="0"/>
          <w:color w:val="000000"/>
          <w:sz w:val="32"/>
          <w:szCs w:val="32"/>
          <w:shd w:val="clear" w:color="auto" w:fill="FFFFFF"/>
          <w:lang w:val="en-US" w:eastAsia="zh-CN"/>
        </w:rPr>
        <w:t>年1月1日至12月31日。本年度报告内容可以通过“中国伊春 • 金林”政府门户网</w:t>
      </w:r>
      <w:r>
        <w:rPr>
          <w:rFonts w:hint="default" w:ascii="Times New Roman" w:hAnsi="Times New Roman" w:eastAsia="仿宋_GB2312" w:cs="Times New Roman"/>
          <w:b w:val="0"/>
          <w:bCs w:val="0"/>
          <w:color w:val="000000"/>
          <w:sz w:val="32"/>
          <w:szCs w:val="32"/>
        </w:rPr>
        <w:t>→</w:t>
      </w:r>
      <w:r>
        <w:rPr>
          <w:rFonts w:hint="eastAsia" w:ascii="Times New Roman" w:hAnsi="Times New Roman" w:eastAsia="仿宋_GB2312" w:cs="Times New Roman"/>
          <w:b w:val="0"/>
          <w:bCs w:val="0"/>
          <w:i w:val="0"/>
          <w:color w:val="000000"/>
          <w:sz w:val="32"/>
          <w:szCs w:val="32"/>
          <w:shd w:val="clear" w:color="auto" w:fill="FFFFFF"/>
          <w:lang w:val="en-US" w:eastAsia="zh-CN"/>
        </w:rPr>
        <w:t>政府信息公开</w:t>
      </w:r>
      <w:r>
        <w:rPr>
          <w:rFonts w:hint="default" w:ascii="Times New Roman" w:hAnsi="Times New Roman" w:eastAsia="仿宋_GB2312" w:cs="Times New Roman"/>
          <w:b w:val="0"/>
          <w:bCs w:val="0"/>
          <w:color w:val="000000"/>
          <w:sz w:val="32"/>
          <w:szCs w:val="32"/>
        </w:rPr>
        <w:t>→</w:t>
      </w:r>
      <w:r>
        <w:rPr>
          <w:rFonts w:hint="eastAsia" w:ascii="Times New Roman" w:hAnsi="Times New Roman" w:eastAsia="仿宋_GB2312" w:cs="Times New Roman"/>
          <w:b w:val="0"/>
          <w:bCs w:val="0"/>
          <w:i w:val="0"/>
          <w:color w:val="000000"/>
          <w:sz w:val="32"/>
          <w:szCs w:val="32"/>
          <w:shd w:val="clear" w:color="auto" w:fill="FFFFFF"/>
          <w:lang w:val="en-US" w:eastAsia="zh-CN"/>
        </w:rPr>
        <w:t>政府信息公开年报</w:t>
      </w:r>
      <w:r>
        <w:rPr>
          <w:rFonts w:hint="default" w:ascii="Times New Roman" w:hAnsi="Times New Roman" w:eastAsia="仿宋_GB2312" w:cs="Times New Roman"/>
          <w:b w:val="0"/>
          <w:bCs w:val="0"/>
          <w:color w:val="000000"/>
          <w:sz w:val="32"/>
          <w:szCs w:val="32"/>
        </w:rPr>
        <w:t>→</w:t>
      </w:r>
      <w:r>
        <w:rPr>
          <w:rFonts w:hint="eastAsia" w:ascii="Times New Roman" w:hAnsi="Times New Roman" w:eastAsia="仿宋_GB2312" w:cs="Times New Roman"/>
          <w:b w:val="0"/>
          <w:bCs w:val="0"/>
          <w:color w:val="000000"/>
          <w:sz w:val="32"/>
          <w:szCs w:val="32"/>
          <w:lang w:eastAsia="zh-CN"/>
        </w:rPr>
        <w:t>区政府信息公开年度报告</w:t>
      </w:r>
      <w:r>
        <w:rPr>
          <w:rFonts w:hint="default" w:ascii="Times New Roman" w:hAnsi="Times New Roman" w:eastAsia="仿宋_GB2312" w:cs="Times New Roman"/>
          <w:b w:val="0"/>
          <w:bCs w:val="0"/>
          <w:i w:val="0"/>
          <w:color w:val="000000"/>
          <w:sz w:val="32"/>
          <w:szCs w:val="32"/>
          <w:shd w:val="clear" w:color="auto" w:fill="FFFFFF"/>
          <w:lang w:val="en-US" w:eastAsia="zh-CN"/>
        </w:rPr>
        <w:t>（http://www.</w:t>
      </w:r>
      <w:r>
        <w:rPr>
          <w:rFonts w:hint="eastAsia" w:ascii="Times New Roman" w:hAnsi="Times New Roman" w:eastAsia="仿宋_GB2312" w:cs="Times New Roman"/>
          <w:b w:val="0"/>
          <w:bCs w:val="0"/>
          <w:i w:val="0"/>
          <w:color w:val="000000"/>
          <w:sz w:val="32"/>
          <w:szCs w:val="32"/>
          <w:shd w:val="clear" w:color="auto" w:fill="FFFFFF"/>
          <w:lang w:val="en-US" w:eastAsia="zh-CN"/>
        </w:rPr>
        <w:t>ycjl</w:t>
      </w:r>
      <w:r>
        <w:rPr>
          <w:rFonts w:hint="default" w:ascii="Times New Roman" w:hAnsi="Times New Roman" w:eastAsia="仿宋_GB2312" w:cs="Times New Roman"/>
          <w:b w:val="0"/>
          <w:bCs w:val="0"/>
          <w:i w:val="0"/>
          <w:color w:val="000000"/>
          <w:sz w:val="32"/>
          <w:szCs w:val="32"/>
          <w:shd w:val="clear" w:color="auto" w:fill="FFFFFF"/>
          <w:lang w:val="en-US" w:eastAsia="zh-CN"/>
        </w:rPr>
        <w:t>.gov.cn/）专栏中查阅下载。联系电话：0458-</w:t>
      </w:r>
      <w:r>
        <w:rPr>
          <w:rFonts w:hint="eastAsia" w:ascii="Times New Roman" w:hAnsi="Times New Roman" w:eastAsia="仿宋_GB2312" w:cs="Times New Roman"/>
          <w:b w:val="0"/>
          <w:bCs w:val="0"/>
          <w:i w:val="0"/>
          <w:color w:val="000000"/>
          <w:sz w:val="32"/>
          <w:szCs w:val="32"/>
          <w:shd w:val="clear" w:color="auto" w:fill="FFFFFF"/>
          <w:lang w:val="en-US" w:eastAsia="zh-CN"/>
        </w:rPr>
        <w:t>3739096</w:t>
      </w:r>
      <w:r>
        <w:rPr>
          <w:rFonts w:hint="default" w:ascii="Times New Roman" w:hAnsi="Times New Roman" w:eastAsia="仿宋_GB2312" w:cs="Times New Roman"/>
          <w:b w:val="0"/>
          <w:bCs w:val="0"/>
          <w:i w:val="0"/>
          <w:color w:val="000000"/>
          <w:sz w:val="32"/>
          <w:szCs w:val="32"/>
          <w:shd w:val="clear" w:color="auto" w:fill="FFFFFF"/>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b w:val="0"/>
          <w:i w:val="0"/>
          <w:color w:val="000000"/>
          <w:sz w:val="32"/>
          <w:szCs w:val="32"/>
          <w:shd w:val="clear" w:color="auto" w:fill="FFFFFF"/>
          <w:lang w:val="en-US" w:eastAsia="zh-CN"/>
        </w:rPr>
      </w:pPr>
      <w:r>
        <w:rPr>
          <w:rFonts w:hint="default" w:ascii="Times New Roman" w:hAnsi="Times New Roman" w:eastAsia="黑体" w:cs="Times New Roman"/>
          <w:b w:val="0"/>
          <w:i w:val="0"/>
          <w:color w:val="000000"/>
          <w:sz w:val="32"/>
          <w:szCs w:val="32"/>
          <w:shd w:val="clear" w:color="auto" w:fill="FFFFFF"/>
          <w:lang w:val="en-US" w:eastAsia="zh-CN"/>
        </w:rPr>
        <w:t>一、总体情况</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6"/>
        <w:jc w:val="both"/>
        <w:textAlignment w:val="auto"/>
        <w:rPr>
          <w:rFonts w:ascii="微软雅黑" w:hAnsi="微软雅黑" w:eastAsia="微软雅黑" w:cs="微软雅黑"/>
          <w:i w:val="0"/>
          <w:iCs w:val="0"/>
          <w:caps w:val="0"/>
          <w:color w:val="333333"/>
          <w:spacing w:val="0"/>
          <w:sz w:val="24"/>
          <w:szCs w:val="24"/>
        </w:rPr>
      </w:pPr>
      <w:r>
        <w:rPr>
          <w:rFonts w:ascii="仿宋_GB2312" w:hAnsi="微软雅黑" w:eastAsia="仿宋_GB2312" w:cs="仿宋_GB2312"/>
          <w:i w:val="0"/>
          <w:iCs w:val="0"/>
          <w:caps w:val="0"/>
          <w:color w:val="000000"/>
          <w:spacing w:val="0"/>
          <w:sz w:val="31"/>
          <w:szCs w:val="31"/>
          <w:shd w:val="clear" w:fill="FFFFFF"/>
        </w:rPr>
        <w:t>202</w:t>
      </w:r>
      <w:r>
        <w:rPr>
          <w:rFonts w:hint="eastAsia" w:ascii="仿宋_GB2312" w:hAnsi="微软雅黑" w:eastAsia="仿宋_GB2312" w:cs="仿宋_GB2312"/>
          <w:i w:val="0"/>
          <w:iCs w:val="0"/>
          <w:caps w:val="0"/>
          <w:color w:val="000000"/>
          <w:spacing w:val="0"/>
          <w:sz w:val="31"/>
          <w:szCs w:val="31"/>
          <w:shd w:val="clear" w:fill="FFFFFF"/>
          <w:lang w:val="en-US" w:eastAsia="zh-CN"/>
        </w:rPr>
        <w:t>2</w:t>
      </w:r>
      <w:r>
        <w:rPr>
          <w:rFonts w:ascii="仿宋_GB2312" w:hAnsi="微软雅黑" w:eastAsia="仿宋_GB2312" w:cs="仿宋_GB2312"/>
          <w:i w:val="0"/>
          <w:iCs w:val="0"/>
          <w:caps w:val="0"/>
          <w:color w:val="000000"/>
          <w:spacing w:val="0"/>
          <w:sz w:val="31"/>
          <w:szCs w:val="31"/>
          <w:shd w:val="clear" w:fill="FFFFFF"/>
        </w:rPr>
        <w:t>年，</w:t>
      </w:r>
      <w:r>
        <w:rPr>
          <w:rFonts w:hint="eastAsia" w:ascii="仿宋_GB2312" w:hAnsi="微软雅黑" w:eastAsia="仿宋_GB2312" w:cs="仿宋_GB2312"/>
          <w:i w:val="0"/>
          <w:iCs w:val="0"/>
          <w:caps w:val="0"/>
          <w:color w:val="000000"/>
          <w:spacing w:val="0"/>
          <w:sz w:val="31"/>
          <w:szCs w:val="31"/>
          <w:shd w:val="clear" w:fill="FFFFFF"/>
          <w:lang w:val="en-US" w:eastAsia="zh-CN"/>
        </w:rPr>
        <w:t>金林区人民政府</w:t>
      </w:r>
      <w:r>
        <w:rPr>
          <w:rFonts w:ascii="仿宋_GB2312" w:hAnsi="微软雅黑" w:eastAsia="仿宋_GB2312" w:cs="仿宋_GB2312"/>
          <w:i w:val="0"/>
          <w:iCs w:val="0"/>
          <w:caps w:val="0"/>
          <w:color w:val="000000"/>
          <w:spacing w:val="0"/>
          <w:sz w:val="31"/>
          <w:szCs w:val="31"/>
          <w:shd w:val="clear" w:fill="FFFFFF"/>
        </w:rPr>
        <w:t>坚持以习近平新时代中国特色社会主义思想为指导，坚持以人民为中心的发展思想，认真落实</w:t>
      </w:r>
      <w:r>
        <w:rPr>
          <w:rFonts w:hint="eastAsia" w:ascii="仿宋_GB2312" w:hAnsi="微软雅黑" w:eastAsia="仿宋_GB2312" w:cs="仿宋_GB2312"/>
          <w:i w:val="0"/>
          <w:iCs w:val="0"/>
          <w:caps w:val="0"/>
          <w:color w:val="000000"/>
          <w:spacing w:val="0"/>
          <w:sz w:val="31"/>
          <w:szCs w:val="31"/>
          <w:shd w:val="clear" w:fill="FFFFFF"/>
          <w:lang w:val="en-US" w:eastAsia="zh-CN"/>
        </w:rPr>
        <w:t>国家、</w:t>
      </w:r>
      <w:r>
        <w:rPr>
          <w:rFonts w:ascii="仿宋_GB2312" w:hAnsi="微软雅黑" w:eastAsia="仿宋_GB2312" w:cs="仿宋_GB2312"/>
          <w:i w:val="0"/>
          <w:iCs w:val="0"/>
          <w:caps w:val="0"/>
          <w:color w:val="000000"/>
          <w:spacing w:val="0"/>
          <w:sz w:val="31"/>
          <w:szCs w:val="31"/>
          <w:shd w:val="clear" w:fill="FFFFFF"/>
        </w:rPr>
        <w:t>省、市关于政务公开工作的决策部署，不断加强政府信息公开工作，加强公开平台管理，全力推进政府信息公开工作扎实有序开展。</w:t>
      </w:r>
    </w:p>
    <w:p>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6"/>
        <w:jc w:val="both"/>
        <w:textAlignment w:val="auto"/>
        <w:rPr>
          <w:rFonts w:hint="eastAsia" w:ascii="仿宋_GB2312" w:hAnsi="微软雅黑" w:eastAsia="仿宋_GB2312" w:cs="仿宋_GB2312"/>
          <w:i w:val="0"/>
          <w:iCs w:val="0"/>
          <w:caps w:val="0"/>
          <w:color w:val="000000"/>
          <w:spacing w:val="0"/>
          <w:sz w:val="31"/>
          <w:szCs w:val="31"/>
          <w:shd w:val="clear" w:fill="FFFFFF"/>
        </w:rPr>
      </w:pPr>
      <w:r>
        <w:rPr>
          <w:rFonts w:hint="eastAsia" w:ascii="仿宋_GB2312" w:hAnsi="微软雅黑" w:eastAsia="仿宋_GB2312" w:cs="仿宋_GB2312"/>
          <w:i w:val="0"/>
          <w:iCs w:val="0"/>
          <w:caps w:val="0"/>
          <w:color w:val="000000"/>
          <w:spacing w:val="0"/>
          <w:sz w:val="31"/>
          <w:szCs w:val="31"/>
          <w:shd w:val="clear" w:fill="FFFFFF"/>
        </w:rPr>
        <w:t>主动公开情况。</w:t>
      </w:r>
      <w:r>
        <w:rPr>
          <w:rStyle w:val="10"/>
          <w:rFonts w:hint="eastAsia" w:ascii="仿宋_GB2312" w:eastAsia="仿宋_GB2312"/>
          <w:color w:val="auto"/>
          <w:sz w:val="32"/>
          <w:szCs w:val="32"/>
          <w:lang w:val="en-US" w:eastAsia="zh-CN"/>
        </w:rPr>
        <w:t>2022</w:t>
      </w:r>
      <w:r>
        <w:rPr>
          <w:rStyle w:val="10"/>
          <w:rFonts w:hint="eastAsia" w:ascii="仿宋_GB2312" w:eastAsia="仿宋_GB2312"/>
          <w:color w:val="auto"/>
          <w:sz w:val="32"/>
          <w:szCs w:val="32"/>
        </w:rPr>
        <w:t>年，</w:t>
      </w:r>
      <w:r>
        <w:rPr>
          <w:rStyle w:val="10"/>
          <w:rFonts w:hint="eastAsia" w:ascii="仿宋_GB2312" w:eastAsia="仿宋_GB2312"/>
          <w:color w:val="auto"/>
          <w:sz w:val="32"/>
          <w:szCs w:val="32"/>
          <w:lang w:val="en-US" w:eastAsia="zh-CN"/>
        </w:rPr>
        <w:t>金林区人民政府</w:t>
      </w:r>
      <w:r>
        <w:rPr>
          <w:rStyle w:val="10"/>
          <w:rFonts w:hint="eastAsia" w:ascii="仿宋_GB2312" w:eastAsia="仿宋_GB2312"/>
          <w:color w:val="auto"/>
          <w:sz w:val="32"/>
          <w:szCs w:val="32"/>
        </w:rPr>
        <w:t>严格按照</w:t>
      </w:r>
      <w:r>
        <w:rPr>
          <w:rStyle w:val="10"/>
          <w:rFonts w:hint="eastAsia" w:ascii="仿宋_GB2312" w:eastAsia="仿宋_GB2312"/>
          <w:color w:val="auto"/>
          <w:sz w:val="32"/>
          <w:szCs w:val="32"/>
          <w:lang w:val="en-US" w:eastAsia="zh-CN"/>
        </w:rPr>
        <w:t>省、市</w:t>
      </w:r>
      <w:r>
        <w:rPr>
          <w:rStyle w:val="10"/>
          <w:rFonts w:hint="eastAsia" w:ascii="仿宋_GB2312" w:eastAsia="仿宋_GB2312"/>
          <w:color w:val="auto"/>
          <w:sz w:val="32"/>
          <w:szCs w:val="32"/>
        </w:rPr>
        <w:t>政</w:t>
      </w:r>
      <w:r>
        <w:rPr>
          <w:rStyle w:val="10"/>
          <w:rFonts w:hint="eastAsia" w:ascii="仿宋_GB2312" w:eastAsia="仿宋_GB2312"/>
          <w:color w:val="auto"/>
          <w:sz w:val="32"/>
          <w:szCs w:val="32"/>
          <w:lang w:val="en-US" w:eastAsia="zh-CN"/>
        </w:rPr>
        <w:t>府</w:t>
      </w:r>
      <w:r>
        <w:rPr>
          <w:rStyle w:val="10"/>
          <w:rFonts w:hint="eastAsia" w:ascii="仿宋_GB2312" w:eastAsia="仿宋_GB2312"/>
          <w:color w:val="auto"/>
          <w:sz w:val="32"/>
          <w:szCs w:val="32"/>
        </w:rPr>
        <w:t>信息公开工作相关要求和部署</w:t>
      </w:r>
      <w:r>
        <w:rPr>
          <w:rStyle w:val="10"/>
          <w:rFonts w:hint="eastAsia" w:ascii="仿宋_GB2312" w:eastAsia="仿宋_GB2312"/>
          <w:color w:val="auto"/>
          <w:sz w:val="32"/>
          <w:szCs w:val="32"/>
          <w:lang w:eastAsia="zh-CN"/>
        </w:rPr>
        <w:t>，</w:t>
      </w:r>
      <w:r>
        <w:rPr>
          <w:rStyle w:val="10"/>
          <w:rFonts w:hint="eastAsia" w:ascii="仿宋_GB2312" w:eastAsia="仿宋_GB2312"/>
          <w:color w:val="auto"/>
          <w:sz w:val="32"/>
          <w:szCs w:val="32"/>
        </w:rPr>
        <w:t>紧紧围绕</w:t>
      </w:r>
      <w:r>
        <w:rPr>
          <w:rStyle w:val="10"/>
          <w:rFonts w:hint="eastAsia" w:ascii="仿宋_GB2312" w:eastAsia="仿宋_GB2312"/>
          <w:color w:val="auto"/>
          <w:sz w:val="32"/>
          <w:szCs w:val="32"/>
          <w:lang w:val="en-US" w:eastAsia="zh-CN"/>
        </w:rPr>
        <w:t>区委、区政府</w:t>
      </w:r>
      <w:r>
        <w:rPr>
          <w:rStyle w:val="10"/>
          <w:rFonts w:hint="eastAsia" w:ascii="仿宋_GB2312" w:eastAsia="仿宋_GB2312"/>
          <w:color w:val="auto"/>
          <w:sz w:val="32"/>
          <w:szCs w:val="32"/>
        </w:rPr>
        <w:t>中心工作，</w:t>
      </w:r>
      <w:r>
        <w:rPr>
          <w:rFonts w:hint="eastAsia" w:ascii="仿宋_GB2312" w:hAnsi="仿宋_GB2312" w:eastAsia="仿宋_GB2312" w:cs="仿宋_GB2312"/>
          <w:color w:val="auto"/>
          <w:sz w:val="32"/>
          <w:szCs w:val="32"/>
          <w:lang w:val="en-US" w:eastAsia="zh-CN"/>
        </w:rPr>
        <w:t>按照</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以公开为常态，以不公开为例外</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的</w:t>
      </w:r>
      <w:r>
        <w:rPr>
          <w:rFonts w:hint="eastAsia" w:ascii="仿宋_GB2312" w:hAnsi="仿宋_GB2312" w:eastAsia="仿宋_GB2312" w:cs="仿宋_GB2312"/>
          <w:color w:val="auto"/>
          <w:sz w:val="32"/>
          <w:szCs w:val="32"/>
          <w:lang w:val="en-US" w:eastAsia="zh-CN"/>
        </w:rPr>
        <w:t>总体要求</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i w:val="0"/>
          <w:iCs w:val="0"/>
          <w:caps w:val="0"/>
          <w:color w:val="auto"/>
          <w:spacing w:val="0"/>
          <w:sz w:val="32"/>
          <w:szCs w:val="32"/>
          <w:shd w:val="clear" w:color="auto" w:fill="FFFFFF"/>
        </w:rPr>
        <w:t>结合我</w:t>
      </w:r>
      <w:r>
        <w:rPr>
          <w:rFonts w:hint="eastAsia" w:ascii="仿宋_GB2312" w:hAnsi="仿宋_GB2312" w:eastAsia="仿宋_GB2312" w:cs="仿宋_GB2312"/>
          <w:i w:val="0"/>
          <w:iCs w:val="0"/>
          <w:caps w:val="0"/>
          <w:color w:val="auto"/>
          <w:spacing w:val="0"/>
          <w:sz w:val="32"/>
          <w:szCs w:val="32"/>
          <w:shd w:val="clear" w:color="auto" w:fill="FFFFFF"/>
          <w:lang w:val="en-US" w:eastAsia="zh-CN"/>
        </w:rPr>
        <w:t>区</w:t>
      </w:r>
      <w:r>
        <w:rPr>
          <w:rFonts w:hint="eastAsia" w:ascii="仿宋_GB2312" w:hAnsi="仿宋_GB2312" w:eastAsia="仿宋_GB2312" w:cs="仿宋_GB2312"/>
          <w:i w:val="0"/>
          <w:iCs w:val="0"/>
          <w:caps w:val="0"/>
          <w:color w:val="auto"/>
          <w:spacing w:val="0"/>
          <w:sz w:val="32"/>
          <w:szCs w:val="32"/>
          <w:shd w:val="clear" w:color="auto" w:fill="FFFFFF"/>
        </w:rPr>
        <w:t>实际，把群众最关心、与群众关系最密切的工作作为政府信息公开的重点，做到及时公开政府工作办事结果，逐步健全完善政府信息公开工作机制，切实提高政府工作透明度，服务群众、方便群众，持续优化公开内容、完善公开渠道</w:t>
      </w:r>
      <w:r>
        <w:rPr>
          <w:rFonts w:hint="eastAsia" w:ascii="仿宋_GB2312" w:hAnsi="仿宋_GB2312" w:eastAsia="仿宋_GB2312" w:cs="仿宋_GB2312"/>
          <w:i w:val="0"/>
          <w:iCs w:val="0"/>
          <w:caps w:val="0"/>
          <w:color w:val="auto"/>
          <w:spacing w:val="0"/>
          <w:sz w:val="32"/>
          <w:szCs w:val="32"/>
          <w:shd w:val="clear" w:color="auto" w:fill="FFFFFF"/>
          <w:lang w:eastAsia="zh-CN"/>
        </w:rPr>
        <w:t>，</w:t>
      </w:r>
      <w:r>
        <w:rPr>
          <w:rFonts w:hint="eastAsia" w:ascii="仿宋_GB2312" w:hAnsi="仿宋_GB2312" w:eastAsia="仿宋_GB2312" w:cs="仿宋_GB2312"/>
          <w:color w:val="auto"/>
          <w:sz w:val="32"/>
          <w:szCs w:val="32"/>
        </w:rPr>
        <w:t>较好地完成了政务公开各项工作</w:t>
      </w:r>
      <w:r>
        <w:rPr>
          <w:rFonts w:hint="eastAsia" w:ascii="仿宋_GB2312" w:hAnsi="仿宋_GB2312" w:eastAsia="仿宋_GB2312" w:cs="仿宋_GB2312"/>
          <w:color w:val="auto"/>
          <w:sz w:val="32"/>
          <w:szCs w:val="32"/>
          <w:lang w:eastAsia="zh-CN"/>
        </w:rPr>
        <w:t>。</w:t>
      </w:r>
      <w:r>
        <w:rPr>
          <w:rFonts w:hint="eastAsia" w:ascii="仿宋_GB2312" w:hAnsi="微软雅黑" w:eastAsia="仿宋_GB2312" w:cs="仿宋_GB2312"/>
          <w:i w:val="0"/>
          <w:iCs w:val="0"/>
          <w:caps w:val="0"/>
          <w:color w:val="000000"/>
          <w:spacing w:val="0"/>
          <w:sz w:val="31"/>
          <w:szCs w:val="31"/>
          <w:shd w:val="clear" w:fill="FFFFFF"/>
        </w:rPr>
        <w:t>202</w:t>
      </w:r>
      <w:r>
        <w:rPr>
          <w:rFonts w:hint="eastAsia" w:ascii="仿宋_GB2312" w:hAnsi="微软雅黑" w:eastAsia="仿宋_GB2312" w:cs="仿宋_GB2312"/>
          <w:i w:val="0"/>
          <w:iCs w:val="0"/>
          <w:caps w:val="0"/>
          <w:color w:val="000000"/>
          <w:spacing w:val="0"/>
          <w:sz w:val="31"/>
          <w:szCs w:val="31"/>
          <w:shd w:val="clear" w:fill="FFFFFF"/>
          <w:lang w:val="en-US" w:eastAsia="zh-CN"/>
        </w:rPr>
        <w:t>2</w:t>
      </w:r>
      <w:r>
        <w:rPr>
          <w:rFonts w:hint="eastAsia" w:ascii="仿宋_GB2312" w:hAnsi="微软雅黑" w:eastAsia="仿宋_GB2312" w:cs="仿宋_GB2312"/>
          <w:i w:val="0"/>
          <w:iCs w:val="0"/>
          <w:caps w:val="0"/>
          <w:color w:val="000000"/>
          <w:spacing w:val="0"/>
          <w:sz w:val="31"/>
          <w:szCs w:val="31"/>
          <w:shd w:val="clear" w:fill="FFFFFF"/>
        </w:rPr>
        <w:t>年，通过门户网站及时发布政务信息、上传政府工作动态，严格执行信息发布前审核制度，同时，聚焦法定主动公开内容，紧扣权力运行全流程、政府服务全过程，借助主流媒体及时公开相关信息，加强政府主动公开时效性。</w:t>
      </w:r>
    </w:p>
    <w:p>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6"/>
        <w:jc w:val="both"/>
        <w:textAlignment w:val="auto"/>
        <w:rPr>
          <w:rFonts w:hint="eastAsia" w:ascii="仿宋_GB2312" w:hAnsi="微软雅黑" w:eastAsia="仿宋_GB2312" w:cs="仿宋_GB2312"/>
          <w:i w:val="0"/>
          <w:iCs w:val="0"/>
          <w:caps w:val="0"/>
          <w:color w:val="000000"/>
          <w:spacing w:val="0"/>
          <w:sz w:val="31"/>
          <w:szCs w:val="31"/>
          <w:shd w:val="clear" w:fill="FFFFFF"/>
        </w:rPr>
      </w:pPr>
      <w:r>
        <w:rPr>
          <w:rFonts w:hint="eastAsia" w:ascii="仿宋_GB2312" w:hAnsi="微软雅黑" w:eastAsia="仿宋_GB2312" w:cs="仿宋_GB2312"/>
          <w:i w:val="0"/>
          <w:iCs w:val="0"/>
          <w:caps w:val="0"/>
          <w:color w:val="000000"/>
          <w:spacing w:val="0"/>
          <w:sz w:val="31"/>
          <w:szCs w:val="31"/>
          <w:shd w:val="clear" w:fill="FFFFFF"/>
        </w:rPr>
        <w:t>依申请公开情况。</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按照《条例》要求，进一步修改和完善了依申请公开制度，在政府信息公开指南中详细说明了依申请公开的方式及渠道。对于不予公开的内容，严格按照《条例》要求按规定答复申请人，做到答复工作有理有据，依申请公开程序依法合规。2022年我区共收到依申请公开申请2项，已对申请人进行了答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20" w:firstLineChars="200"/>
        <w:textAlignment w:val="auto"/>
        <w:rPr>
          <w:rFonts w:hint="eastAsia" w:ascii="微软雅黑" w:hAnsi="微软雅黑" w:eastAsia="微软雅黑" w:cs="微软雅黑"/>
          <w:i w:val="0"/>
          <w:iCs w:val="0"/>
          <w:caps w:val="0"/>
          <w:color w:val="333333"/>
          <w:spacing w:val="0"/>
          <w:sz w:val="24"/>
          <w:szCs w:val="24"/>
        </w:rPr>
      </w:pPr>
      <w:r>
        <w:rPr>
          <w:rFonts w:hint="eastAsia" w:ascii="仿宋_GB2312" w:hAnsi="微软雅黑" w:eastAsia="仿宋_GB2312" w:cs="仿宋_GB2312"/>
          <w:i w:val="0"/>
          <w:iCs w:val="0"/>
          <w:caps w:val="0"/>
          <w:color w:val="000000"/>
          <w:spacing w:val="0"/>
          <w:sz w:val="31"/>
          <w:szCs w:val="31"/>
          <w:shd w:val="clear" w:fill="FFFFFF"/>
        </w:rPr>
        <w:t>（三）政府信息管理。根据《条例》要求，建立健全政府信息管理工作制度，对政府信息依申请公开实行全过程管理，确保依申请事项及时回复。依申请公开工作由专人负责，严格按照依申请公开工作流程，规范操作，在法定时限内答复申请人，信息发布前，严格审核是否涉及国家秘密、商业秘密、个人隐私、敏感词等内容，确保不发生泄密问题，确保政府信息管理有序进行。</w:t>
      </w:r>
      <w:r>
        <w:rPr>
          <w:rFonts w:hint="eastAsia" w:ascii="仿宋_GB2312" w:hAnsi="仿宋_GB2312" w:eastAsia="仿宋_GB2312" w:cs="仿宋_GB2312"/>
          <w:i w:val="0"/>
          <w:iCs w:val="0"/>
          <w:caps w:val="0"/>
          <w:color w:val="auto"/>
          <w:spacing w:val="0"/>
          <w:sz w:val="32"/>
          <w:szCs w:val="32"/>
          <w:shd w:val="clear" w:color="auto" w:fill="FFFFFF"/>
        </w:rPr>
        <w:t>同时，不断完善政府信息常态化管理机制以及信息公开指南等各项规章制度，进</w:t>
      </w:r>
      <w:r>
        <w:rPr>
          <w:rFonts w:hint="eastAsia" w:ascii="仿宋_GB2312" w:hAnsi="仿宋_GB2312" w:eastAsia="仿宋_GB2312" w:cs="仿宋_GB2312"/>
          <w:i w:val="0"/>
          <w:iCs w:val="0"/>
          <w:caps w:val="0"/>
          <w:color w:val="auto"/>
          <w:spacing w:val="0"/>
          <w:sz w:val="32"/>
          <w:szCs w:val="32"/>
          <w:shd w:val="clear" w:color="auto" w:fill="FFFFFF"/>
          <w:lang w:val="en-US" w:eastAsia="zh-CN"/>
        </w:rPr>
        <w:t>一</w:t>
      </w:r>
      <w:r>
        <w:rPr>
          <w:rFonts w:hint="eastAsia" w:ascii="仿宋_GB2312" w:hAnsi="仿宋_GB2312" w:eastAsia="仿宋_GB2312" w:cs="仿宋_GB2312"/>
          <w:i w:val="0"/>
          <w:iCs w:val="0"/>
          <w:caps w:val="0"/>
          <w:color w:val="auto"/>
          <w:spacing w:val="0"/>
          <w:sz w:val="32"/>
          <w:szCs w:val="32"/>
          <w:shd w:val="clear" w:color="auto" w:fill="FFFFFF"/>
        </w:rPr>
        <w:t>步完善了政府信息公开的收集、审批、发布程序，完善民主决策制度，切实加强政府信息公开工作的管理。</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20" w:firstLineChars="200"/>
        <w:jc w:val="both"/>
        <w:textAlignment w:val="auto"/>
        <w:rPr>
          <w:rFonts w:hint="eastAsia" w:ascii="微软雅黑" w:hAnsi="微软雅黑" w:eastAsia="微软雅黑" w:cs="微软雅黑"/>
          <w:i w:val="0"/>
          <w:iCs w:val="0"/>
          <w:caps w:val="0"/>
          <w:color w:val="333333"/>
          <w:spacing w:val="0"/>
          <w:sz w:val="24"/>
          <w:szCs w:val="24"/>
        </w:rPr>
      </w:pPr>
      <w:r>
        <w:rPr>
          <w:rFonts w:hint="eastAsia" w:ascii="仿宋_GB2312" w:hAnsi="微软雅黑" w:eastAsia="仿宋_GB2312" w:cs="仿宋_GB2312"/>
          <w:i w:val="0"/>
          <w:iCs w:val="0"/>
          <w:caps w:val="0"/>
          <w:color w:val="000000"/>
          <w:spacing w:val="0"/>
          <w:sz w:val="31"/>
          <w:szCs w:val="31"/>
          <w:shd w:val="clear" w:fill="FFFFFF"/>
        </w:rPr>
        <w:t>（四）平台建设。</w:t>
      </w:r>
      <w:r>
        <w:rPr>
          <w:rFonts w:hint="eastAsia" w:ascii="仿宋_GB2312" w:hAnsi="仿宋_GB2312" w:eastAsia="仿宋_GB2312" w:cs="仿宋_GB2312"/>
          <w:i w:val="0"/>
          <w:iCs w:val="0"/>
          <w:caps w:val="0"/>
          <w:color w:val="auto"/>
          <w:spacing w:val="0"/>
          <w:sz w:val="32"/>
          <w:szCs w:val="32"/>
          <w:shd w:val="clear" w:fill="FFFFFF"/>
        </w:rPr>
        <w:t>将区政府门户网站作为发布法定主动公开内容的主要平台，围绕保障和改善民生等重点工作任务，实时发布教育、医疗、就业、养老等相关政策信息，积极将政府各项政策、社会资源等输送给有需要的群众。</w:t>
      </w:r>
      <w:r>
        <w:rPr>
          <w:rFonts w:hint="eastAsia" w:ascii="仿宋_GB2312" w:hAnsi="仿宋_GB2312" w:eastAsia="仿宋_GB2312" w:cs="仿宋_GB2312"/>
          <w:i w:val="0"/>
          <w:iCs w:val="0"/>
          <w:caps w:val="0"/>
          <w:color w:val="auto"/>
          <w:spacing w:val="0"/>
          <w:sz w:val="32"/>
          <w:szCs w:val="32"/>
          <w:shd w:val="clear" w:color="auto" w:fill="FFFFFF"/>
        </w:rPr>
        <w:t>年内新建“重大会议</w:t>
      </w:r>
      <w:r>
        <w:rPr>
          <w:rFonts w:hint="eastAsia" w:ascii="仿宋_GB2312" w:hAnsi="仿宋_GB2312" w:eastAsia="仿宋_GB2312" w:cs="仿宋_GB2312"/>
          <w:i w:val="0"/>
          <w:iCs w:val="0"/>
          <w:caps w:val="0"/>
          <w:color w:val="auto"/>
          <w:spacing w:val="0"/>
          <w:sz w:val="32"/>
          <w:szCs w:val="32"/>
          <w:shd w:val="clear" w:color="auto" w:fill="FFFFFF"/>
          <w:lang w:val="en-US" w:eastAsia="zh-CN"/>
        </w:rPr>
        <w:t>信息</w:t>
      </w:r>
      <w:r>
        <w:rPr>
          <w:rFonts w:hint="eastAsia" w:ascii="仿宋_GB2312" w:hAnsi="仿宋_GB2312" w:eastAsia="仿宋_GB2312" w:cs="仿宋_GB2312"/>
          <w:i w:val="0"/>
          <w:iCs w:val="0"/>
          <w:caps w:val="0"/>
          <w:color w:val="auto"/>
          <w:spacing w:val="0"/>
          <w:sz w:val="32"/>
          <w:szCs w:val="32"/>
          <w:shd w:val="clear" w:color="auto" w:fill="FFFFFF"/>
        </w:rPr>
        <w:t>”专题，结合社会时事热点与群众企业需求，多层次、多角度丰富政府信息公开内容。</w:t>
      </w:r>
      <w:r>
        <w:rPr>
          <w:rFonts w:hint="eastAsia" w:ascii="仿宋_GB2312" w:hAnsi="仿宋_GB2312" w:eastAsia="仿宋_GB2312" w:cs="仿宋_GB2312"/>
          <w:i w:val="0"/>
          <w:iCs w:val="0"/>
          <w:caps w:val="0"/>
          <w:color w:val="auto"/>
          <w:spacing w:val="0"/>
          <w:sz w:val="32"/>
          <w:szCs w:val="32"/>
          <w:shd w:val="clear" w:color="auto" w:fill="FFFFFF"/>
          <w:lang w:val="en-US" w:eastAsia="zh-CN"/>
        </w:rPr>
        <w:t>同时</w:t>
      </w:r>
      <w:r>
        <w:rPr>
          <w:rFonts w:hint="eastAsia" w:ascii="仿宋_GB2312" w:hAnsi="仿宋_GB2312" w:eastAsia="仿宋_GB2312" w:cs="仿宋_GB2312"/>
          <w:b w:val="0"/>
          <w:bCs w:val="0"/>
          <w:i w:val="0"/>
          <w:color w:val="auto"/>
          <w:sz w:val="32"/>
          <w:szCs w:val="32"/>
          <w:shd w:val="clear" w:color="auto" w:fill="FFFFFF"/>
          <w:lang w:val="en-US" w:eastAsia="zh-CN"/>
        </w:rPr>
        <w:t>对照国务院部门指定的基层政务公开指引，结合权力清单和公共服务事项编制并添加了6个领域的基层政务公开标准目录。</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6"/>
        <w:jc w:val="both"/>
        <w:textAlignment w:val="auto"/>
        <w:rPr>
          <w:rFonts w:hint="eastAsia" w:ascii="仿宋_GB2312" w:hAnsi="微软雅黑" w:eastAsia="仿宋_GB2312" w:cs="仿宋_GB2312"/>
          <w:i w:val="0"/>
          <w:iCs w:val="0"/>
          <w:caps w:val="0"/>
          <w:color w:val="000000"/>
          <w:spacing w:val="0"/>
          <w:sz w:val="31"/>
          <w:szCs w:val="31"/>
          <w:shd w:val="clear" w:fill="FFFFFF"/>
        </w:rPr>
      </w:pPr>
      <w:r>
        <w:rPr>
          <w:rFonts w:hint="eastAsia" w:ascii="仿宋_GB2312" w:hAnsi="微软雅黑" w:eastAsia="仿宋_GB2312" w:cs="仿宋_GB2312"/>
          <w:i w:val="0"/>
          <w:iCs w:val="0"/>
          <w:caps w:val="0"/>
          <w:color w:val="000000"/>
          <w:spacing w:val="0"/>
          <w:sz w:val="31"/>
          <w:szCs w:val="31"/>
          <w:shd w:val="clear" w:fill="FFFFFF"/>
        </w:rPr>
        <w:t>（五）监督保障。认真做好政府网站普查工作，加强对网站的日常巡检，定期对网站内容更新、互动回应、错别字等进行检查整改；杜绝政府网站内容更新不及时、信息发布不准确、交流互动不回应、服务信息不实用“四不”问题的出现，监督保障工作稳步推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ascii="黑体" w:hAnsi="黑体" w:eastAsia="黑体" w:cs="黑体"/>
          <w:b w:val="0"/>
          <w:bCs w:val="0"/>
          <w:i w:val="0"/>
          <w:iCs w:val="0"/>
          <w:caps w:val="0"/>
          <w:color w:val="333333"/>
          <w:spacing w:val="0"/>
          <w:sz w:val="32"/>
          <w:szCs w:val="32"/>
          <w:shd w:val="clear" w:color="auto" w:fill="FFFFFF"/>
        </w:rPr>
      </w:pPr>
      <w:r>
        <w:rPr>
          <w:rFonts w:hint="eastAsia" w:ascii="黑体" w:hAnsi="黑体" w:eastAsia="黑体" w:cs="黑体"/>
          <w:b w:val="0"/>
          <w:bCs w:val="0"/>
          <w:i w:val="0"/>
          <w:iCs w:val="0"/>
          <w:caps w:val="0"/>
          <w:color w:val="333333"/>
          <w:spacing w:val="0"/>
          <w:sz w:val="32"/>
          <w:szCs w:val="32"/>
          <w:shd w:val="clear" w:color="auto" w:fill="FFFFFF"/>
        </w:rPr>
        <w:t>二、主动公开政府信息情况</w:t>
      </w:r>
    </w:p>
    <w:p>
      <w:pPr>
        <w:pStyle w:val="2"/>
        <w:ind w:left="0" w:leftChars="0" w:firstLine="0" w:firstLineChars="0"/>
        <w:rPr>
          <w:rFonts w:hint="eastAsia"/>
        </w:rPr>
      </w:pPr>
    </w:p>
    <w:tbl>
      <w:tblPr>
        <w:tblStyle w:val="6"/>
        <w:tblW w:w="85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987"/>
        <w:gridCol w:w="2176"/>
        <w:gridCol w:w="2435"/>
        <w:gridCol w:w="19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571" w:type="dxa"/>
            <w:gridSpan w:val="4"/>
            <w:tcBorders>
              <w:top w:val="single" w:color="auto" w:sz="8" w:space="0"/>
              <w:left w:val="single" w:color="auto" w:sz="8" w:space="0"/>
              <w:bottom w:val="single" w:color="auto" w:sz="8" w:space="0"/>
              <w:right w:val="single" w:color="auto" w:sz="8" w:space="0"/>
            </w:tcBorders>
            <w:shd w:val="clear" w:color="auto" w:fill="C6D9F1"/>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42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第二十条第（一）项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1987" w:type="dxa"/>
            <w:tcBorders>
              <w:top w:val="nil"/>
              <w:left w:val="single" w:color="auto" w:sz="8" w:space="0"/>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信息内容</w:t>
            </w:r>
          </w:p>
        </w:tc>
        <w:tc>
          <w:tcPr>
            <w:tcW w:w="2176" w:type="dxa"/>
            <w:tcBorders>
              <w:top w:val="single" w:color="auto" w:sz="8" w:space="0"/>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firstLine="240" w:firstLineChars="100"/>
              <w:jc w:val="center"/>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本年制发件数</w:t>
            </w:r>
          </w:p>
        </w:tc>
        <w:tc>
          <w:tcPr>
            <w:tcW w:w="2435" w:type="dxa"/>
            <w:tcBorders>
              <w:top w:val="single" w:color="auto" w:sz="8" w:space="0"/>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firstLine="240" w:firstLineChars="100"/>
              <w:jc w:val="center"/>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本年废止件数</w:t>
            </w:r>
          </w:p>
        </w:tc>
        <w:tc>
          <w:tcPr>
            <w:tcW w:w="1973" w:type="dxa"/>
            <w:tcBorders>
              <w:top w:val="single" w:color="auto" w:sz="8" w:space="0"/>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center"/>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现行有效件数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1987" w:type="dxa"/>
            <w:tcBorders>
              <w:top w:val="nil"/>
              <w:left w:val="single" w:color="auto" w:sz="8" w:space="0"/>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规章</w:t>
            </w:r>
          </w:p>
        </w:tc>
        <w:tc>
          <w:tcPr>
            <w:tcW w:w="2176"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420"/>
              <w:jc w:val="center"/>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0</w:t>
            </w:r>
          </w:p>
        </w:tc>
        <w:tc>
          <w:tcPr>
            <w:tcW w:w="2435"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420"/>
              <w:jc w:val="center"/>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0</w:t>
            </w:r>
          </w:p>
        </w:tc>
        <w:tc>
          <w:tcPr>
            <w:tcW w:w="197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420"/>
              <w:jc w:val="center"/>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1987" w:type="dxa"/>
            <w:tcBorders>
              <w:top w:val="nil"/>
              <w:left w:val="single" w:color="auto" w:sz="8" w:space="0"/>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行政规范性文件</w:t>
            </w:r>
          </w:p>
        </w:tc>
        <w:tc>
          <w:tcPr>
            <w:tcW w:w="2176"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420"/>
              <w:jc w:val="center"/>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3</w:t>
            </w:r>
          </w:p>
        </w:tc>
        <w:tc>
          <w:tcPr>
            <w:tcW w:w="2435"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420"/>
              <w:jc w:val="center"/>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1</w:t>
            </w:r>
            <w:bookmarkStart w:id="0" w:name="_GoBack"/>
            <w:bookmarkEnd w:id="0"/>
          </w:p>
        </w:tc>
        <w:tc>
          <w:tcPr>
            <w:tcW w:w="197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420"/>
              <w:jc w:val="center"/>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571" w:type="dxa"/>
            <w:gridSpan w:val="4"/>
            <w:tcBorders>
              <w:top w:val="nil"/>
              <w:left w:val="single" w:color="auto" w:sz="8" w:space="0"/>
              <w:bottom w:val="single" w:color="auto" w:sz="8" w:space="0"/>
              <w:right w:val="single" w:color="auto" w:sz="8" w:space="0"/>
            </w:tcBorders>
            <w:shd w:val="clear" w:color="auto" w:fill="C6D9F1"/>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42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第二十条第（五）项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1987" w:type="dxa"/>
            <w:tcBorders>
              <w:top w:val="nil"/>
              <w:left w:val="single" w:color="auto" w:sz="8" w:space="0"/>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信息内容</w:t>
            </w:r>
          </w:p>
        </w:tc>
        <w:tc>
          <w:tcPr>
            <w:tcW w:w="6584" w:type="dxa"/>
            <w:gridSpan w:val="3"/>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420"/>
              <w:jc w:val="center"/>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1987" w:type="dxa"/>
            <w:tcBorders>
              <w:top w:val="nil"/>
              <w:left w:val="single" w:color="auto" w:sz="8" w:space="0"/>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行政许可</w:t>
            </w:r>
          </w:p>
        </w:tc>
        <w:tc>
          <w:tcPr>
            <w:tcW w:w="6584" w:type="dxa"/>
            <w:gridSpan w:val="3"/>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420"/>
              <w:jc w:val="center"/>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746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571" w:type="dxa"/>
            <w:gridSpan w:val="4"/>
            <w:tcBorders>
              <w:top w:val="nil"/>
              <w:left w:val="single" w:color="auto" w:sz="8" w:space="0"/>
              <w:bottom w:val="single" w:color="auto" w:sz="8" w:space="0"/>
              <w:right w:val="single" w:color="auto" w:sz="8" w:space="0"/>
            </w:tcBorders>
            <w:shd w:val="clear" w:color="auto" w:fill="C6D9F1"/>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420"/>
              <w:jc w:val="center"/>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第二十条第（六）项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1987" w:type="dxa"/>
            <w:tcBorders>
              <w:top w:val="nil"/>
              <w:left w:val="single" w:color="auto" w:sz="8" w:space="0"/>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信息内容</w:t>
            </w:r>
          </w:p>
        </w:tc>
        <w:tc>
          <w:tcPr>
            <w:tcW w:w="6584" w:type="dxa"/>
            <w:gridSpan w:val="3"/>
            <w:tcBorders>
              <w:top w:val="single" w:color="auto" w:sz="8" w:space="0"/>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center"/>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1987" w:type="dxa"/>
            <w:tcBorders>
              <w:top w:val="nil"/>
              <w:left w:val="single" w:color="auto" w:sz="8" w:space="0"/>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行政处罚</w:t>
            </w:r>
          </w:p>
        </w:tc>
        <w:tc>
          <w:tcPr>
            <w:tcW w:w="6584" w:type="dxa"/>
            <w:gridSpan w:val="3"/>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420"/>
              <w:jc w:val="center"/>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1987" w:type="dxa"/>
            <w:tcBorders>
              <w:top w:val="nil"/>
              <w:left w:val="single" w:color="auto" w:sz="8" w:space="0"/>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行政强制</w:t>
            </w:r>
          </w:p>
        </w:tc>
        <w:tc>
          <w:tcPr>
            <w:tcW w:w="6584" w:type="dxa"/>
            <w:gridSpan w:val="3"/>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420"/>
              <w:jc w:val="center"/>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8571" w:type="dxa"/>
            <w:gridSpan w:val="4"/>
            <w:tcBorders>
              <w:top w:val="nil"/>
              <w:left w:val="single" w:color="auto" w:sz="8" w:space="0"/>
              <w:bottom w:val="single" w:color="auto" w:sz="8" w:space="0"/>
              <w:right w:val="single" w:color="auto" w:sz="8" w:space="0"/>
            </w:tcBorders>
            <w:shd w:val="clear" w:color="auto" w:fill="C6D9F1"/>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420"/>
              <w:jc w:val="center"/>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第二十条第（八）项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1987" w:type="dxa"/>
            <w:tcBorders>
              <w:top w:val="nil"/>
              <w:left w:val="single" w:color="auto" w:sz="8" w:space="0"/>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信息内容</w:t>
            </w:r>
          </w:p>
        </w:tc>
        <w:tc>
          <w:tcPr>
            <w:tcW w:w="6584" w:type="dxa"/>
            <w:gridSpan w:val="3"/>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420"/>
              <w:jc w:val="center"/>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本年收费金额（单位：万元）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1987" w:type="dxa"/>
            <w:tcBorders>
              <w:top w:val="nil"/>
              <w:left w:val="single" w:color="auto" w:sz="8" w:space="0"/>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行政事业性收费</w:t>
            </w:r>
          </w:p>
        </w:tc>
        <w:tc>
          <w:tcPr>
            <w:tcW w:w="6584" w:type="dxa"/>
            <w:gridSpan w:val="3"/>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center"/>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4071.8</w:t>
            </w:r>
          </w:p>
        </w:tc>
      </w:tr>
    </w:tbl>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right="0" w:rightChars="0"/>
        <w:jc w:val="both"/>
        <w:textAlignment w:val="auto"/>
        <w:rPr>
          <w:rFonts w:hint="eastAsia" w:ascii="黑体" w:hAnsi="黑体" w:eastAsia="黑体" w:cs="黑体"/>
          <w:b w:val="0"/>
          <w:bCs w:val="0"/>
          <w:i w:val="0"/>
          <w:iCs w:val="0"/>
          <w:caps w:val="0"/>
          <w:color w:val="333333"/>
          <w:spacing w:val="0"/>
          <w:kern w:val="2"/>
          <w:sz w:val="32"/>
          <w:szCs w:val="32"/>
          <w:shd w:val="clear" w:color="auto" w:fill="FFFFFF"/>
          <w:lang w:val="en-US" w:eastAsia="zh-CN" w:bidi="ar-SA"/>
        </w:rPr>
      </w:pPr>
    </w:p>
    <w:p>
      <w:pPr>
        <w:pStyle w:val="5"/>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黑体" w:hAnsi="黑体" w:eastAsia="黑体" w:cs="黑体"/>
          <w:b w:val="0"/>
          <w:bCs w:val="0"/>
          <w:i w:val="0"/>
          <w:iCs w:val="0"/>
          <w:caps w:val="0"/>
          <w:color w:val="333333"/>
          <w:spacing w:val="0"/>
          <w:kern w:val="2"/>
          <w:sz w:val="32"/>
          <w:szCs w:val="32"/>
          <w:shd w:val="clear" w:color="auto" w:fill="FFFFFF"/>
          <w:lang w:val="en-US" w:eastAsia="zh-CN" w:bidi="ar-SA"/>
        </w:rPr>
      </w:pPr>
      <w:r>
        <w:rPr>
          <w:rFonts w:hint="eastAsia" w:ascii="黑体" w:hAnsi="黑体" w:eastAsia="黑体" w:cs="黑体"/>
          <w:b w:val="0"/>
          <w:bCs w:val="0"/>
          <w:i w:val="0"/>
          <w:iCs w:val="0"/>
          <w:caps w:val="0"/>
          <w:color w:val="333333"/>
          <w:spacing w:val="0"/>
          <w:kern w:val="2"/>
          <w:sz w:val="32"/>
          <w:szCs w:val="32"/>
          <w:shd w:val="clear" w:color="auto" w:fill="FFFFFF"/>
          <w:lang w:val="en-US" w:eastAsia="zh-CN" w:bidi="ar-SA"/>
        </w:rPr>
        <w:t>收到和处理政府信息公开申请情况</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黑体" w:hAnsi="黑体" w:eastAsia="黑体" w:cs="黑体"/>
          <w:b w:val="0"/>
          <w:bCs w:val="0"/>
          <w:i w:val="0"/>
          <w:iCs w:val="0"/>
          <w:caps w:val="0"/>
          <w:color w:val="333333"/>
          <w:spacing w:val="0"/>
          <w:kern w:val="2"/>
          <w:sz w:val="32"/>
          <w:szCs w:val="32"/>
          <w:shd w:val="clear" w:color="auto" w:fill="FFFFFF"/>
          <w:lang w:val="en-US" w:eastAsia="zh-CN" w:bidi="ar-SA"/>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right="0" w:rightChars="0"/>
        <w:jc w:val="both"/>
        <w:textAlignment w:val="auto"/>
        <w:rPr>
          <w:rFonts w:hint="eastAsia" w:ascii="黑体" w:hAnsi="黑体" w:eastAsia="黑体" w:cs="黑体"/>
          <w:b w:val="0"/>
          <w:bCs w:val="0"/>
          <w:i w:val="0"/>
          <w:iCs w:val="0"/>
          <w:caps w:val="0"/>
          <w:color w:val="333333"/>
          <w:spacing w:val="0"/>
          <w:kern w:val="2"/>
          <w:sz w:val="32"/>
          <w:szCs w:val="32"/>
          <w:shd w:val="clear" w:color="auto" w:fill="FFFFFF"/>
          <w:lang w:val="en-US" w:eastAsia="zh-CN" w:bidi="ar-SA"/>
        </w:rPr>
      </w:pPr>
    </w:p>
    <w:tbl>
      <w:tblPr>
        <w:tblStyle w:val="6"/>
        <w:tblW w:w="9748"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765"/>
        <w:gridCol w:w="946"/>
        <w:gridCol w:w="3114"/>
        <w:gridCol w:w="543"/>
        <w:gridCol w:w="863"/>
        <w:gridCol w:w="703"/>
        <w:gridCol w:w="690"/>
        <w:gridCol w:w="717"/>
        <w:gridCol w:w="704"/>
        <w:gridCol w:w="70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19" w:hRule="atLeast"/>
          <w:jc w:val="center"/>
        </w:trPr>
        <w:tc>
          <w:tcPr>
            <w:tcW w:w="4825" w:type="dxa"/>
            <w:gridSpan w:val="3"/>
            <w:vMerge w:val="restart"/>
            <w:tcBorders>
              <w:top w:val="single" w:color="auto" w:sz="8" w:space="0"/>
              <w:left w:val="single" w:color="auto" w:sz="8" w:space="0"/>
              <w:bottom w:val="outset"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（本列数据的勾稽关系为：第一项加第二项之和，等于第三项加第四项之和）</w:t>
            </w:r>
          </w:p>
        </w:tc>
        <w:tc>
          <w:tcPr>
            <w:tcW w:w="4923" w:type="dxa"/>
            <w:gridSpan w:val="7"/>
            <w:tcBorders>
              <w:top w:val="single" w:color="auto" w:sz="8" w:space="0"/>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42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申请人情况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49" w:hRule="atLeast"/>
          <w:jc w:val="center"/>
        </w:trPr>
        <w:tc>
          <w:tcPr>
            <w:tcW w:w="4825" w:type="dxa"/>
            <w:gridSpan w:val="3"/>
            <w:vMerge w:val="continue"/>
            <w:tcBorders>
              <w:top w:val="single" w:color="auto" w:sz="8" w:space="0"/>
              <w:left w:val="single" w:color="auto" w:sz="8" w:space="0"/>
              <w:bottom w:val="outset" w:color="auto" w:sz="8" w:space="0"/>
              <w:right w:val="single" w:color="auto" w:sz="8"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543" w:type="dxa"/>
            <w:vMerge w:val="restart"/>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自然人</w:t>
            </w:r>
          </w:p>
        </w:tc>
        <w:tc>
          <w:tcPr>
            <w:tcW w:w="3677" w:type="dxa"/>
            <w:gridSpan w:val="5"/>
            <w:tcBorders>
              <w:top w:val="single" w:color="auto" w:sz="8" w:space="0"/>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42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法人或其他组织</w:t>
            </w:r>
          </w:p>
        </w:tc>
        <w:tc>
          <w:tcPr>
            <w:tcW w:w="703" w:type="dxa"/>
            <w:vMerge w:val="restart"/>
            <w:tcBorders>
              <w:top w:val="single" w:color="auto" w:sz="8" w:space="0"/>
              <w:left w:val="nil"/>
              <w:bottom w:val="outset"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总计</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439" w:hRule="atLeast"/>
          <w:jc w:val="center"/>
        </w:trPr>
        <w:tc>
          <w:tcPr>
            <w:tcW w:w="4825" w:type="dxa"/>
            <w:gridSpan w:val="3"/>
            <w:vMerge w:val="continue"/>
            <w:tcBorders>
              <w:top w:val="single" w:color="auto" w:sz="8" w:space="0"/>
              <w:left w:val="single" w:color="auto" w:sz="8" w:space="0"/>
              <w:bottom w:val="outset" w:color="auto" w:sz="8" w:space="0"/>
              <w:right w:val="single" w:color="auto" w:sz="8"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543" w:type="dxa"/>
            <w:vMerge w:val="continue"/>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商业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企业</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科研</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机构</w:t>
            </w:r>
          </w:p>
        </w:tc>
        <w:tc>
          <w:tcPr>
            <w:tcW w:w="690" w:type="dxa"/>
            <w:tcBorders>
              <w:top w:val="single" w:color="auto" w:sz="8" w:space="0"/>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社会公益组织</w:t>
            </w:r>
          </w:p>
        </w:tc>
        <w:tc>
          <w:tcPr>
            <w:tcW w:w="717" w:type="dxa"/>
            <w:tcBorders>
              <w:top w:val="single" w:color="auto" w:sz="8" w:space="0"/>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法律服务机构</w:t>
            </w:r>
          </w:p>
        </w:tc>
        <w:tc>
          <w:tcPr>
            <w:tcW w:w="704" w:type="dxa"/>
            <w:tcBorders>
              <w:top w:val="single" w:color="auto" w:sz="8" w:space="0"/>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其他</w:t>
            </w:r>
          </w:p>
        </w:tc>
        <w:tc>
          <w:tcPr>
            <w:tcW w:w="703" w:type="dxa"/>
            <w:vMerge w:val="continue"/>
            <w:tcBorders>
              <w:top w:val="single" w:color="auto" w:sz="8" w:space="0"/>
              <w:left w:val="nil"/>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95" w:hRule="atLeast"/>
          <w:jc w:val="center"/>
        </w:trPr>
        <w:tc>
          <w:tcPr>
            <w:tcW w:w="4825" w:type="dxa"/>
            <w:gridSpan w:val="3"/>
            <w:tcBorders>
              <w:top w:val="nil"/>
              <w:left w:val="single" w:color="auto" w:sz="8" w:space="0"/>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一、本年新收政府信息公开申请数量</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2</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825" w:type="dxa"/>
            <w:gridSpan w:val="3"/>
            <w:tcBorders>
              <w:top w:val="nil"/>
              <w:left w:val="single" w:color="auto" w:sz="8" w:space="0"/>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二、上年结转政府信息公开申请数量</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0</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5" w:type="dxa"/>
            <w:vMerge w:val="restart"/>
            <w:tcBorders>
              <w:top w:val="nil"/>
              <w:left w:val="single" w:color="auto" w:sz="8" w:space="0"/>
              <w:bottom w:val="outset"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三、本年度办理结果</w:t>
            </w:r>
          </w:p>
        </w:tc>
        <w:tc>
          <w:tcPr>
            <w:tcW w:w="4060" w:type="dxa"/>
            <w:gridSpan w:val="2"/>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（一）予以公开</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0</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sz w:val="24"/>
                <w:szCs w:val="24"/>
                <w:lang w:val="en-US" w:eastAsia="zh-CN"/>
              </w:rPr>
              <w:t>0</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sz w:val="24"/>
                <w:szCs w:val="24"/>
                <w:lang w:val="en-US" w:eastAsia="zh-CN"/>
              </w:rPr>
              <w:t>0</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sz w:val="24"/>
                <w:szCs w:val="24"/>
                <w:lang w:val="en-US" w:eastAsia="zh-CN"/>
              </w:rPr>
              <w:t>0</w:t>
            </w:r>
          </w:p>
        </w:tc>
        <w:tc>
          <w:tcPr>
            <w:tcW w:w="703" w:type="dxa"/>
            <w:tcBorders>
              <w:top w:val="single" w:color="auto" w:sz="8" w:space="0"/>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5" w:type="dxa"/>
            <w:vMerge w:val="continue"/>
            <w:tcBorders>
              <w:top w:val="nil"/>
              <w:left w:val="single" w:color="auto" w:sz="8" w:space="0"/>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4060" w:type="dxa"/>
            <w:gridSpan w:val="2"/>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（二）部分公开（区分处理的，只计这一情形，不计其他情形）</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0 </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5" w:type="dxa"/>
            <w:vMerge w:val="continue"/>
            <w:tcBorders>
              <w:top w:val="nil"/>
              <w:left w:val="single" w:color="auto" w:sz="8" w:space="0"/>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946" w:type="dxa"/>
            <w:vMerge w:val="restart"/>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kern w:val="0"/>
                <w:sz w:val="24"/>
                <w:szCs w:val="24"/>
                <w:lang w:val="en-US" w:eastAsia="zh-CN" w:bidi="ar"/>
              </w:rPr>
            </w:pPr>
            <w:r>
              <w:rPr>
                <w:rFonts w:hint="eastAsia" w:ascii="黑体" w:hAnsi="黑体" w:eastAsia="黑体" w:cs="黑体"/>
                <w:kern w:val="0"/>
                <w:sz w:val="24"/>
                <w:szCs w:val="24"/>
                <w:lang w:val="en-US" w:eastAsia="zh-CN" w:bidi="ar"/>
              </w:rPr>
              <w:t>（三）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不予公开</w:t>
            </w:r>
          </w:p>
        </w:tc>
        <w:tc>
          <w:tcPr>
            <w:tcW w:w="3114" w:type="dxa"/>
            <w:tcBorders>
              <w:top w:val="nil"/>
              <w:left w:val="nil"/>
              <w:bottom w:val="single" w:color="auto" w:sz="8" w:space="0"/>
              <w:right w:val="single" w:color="auto" w:sz="8" w:space="0"/>
            </w:tcBorders>
            <w:noWrap w:val="0"/>
            <w:tcMar>
              <w:left w:w="57"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1.属于国家秘密</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single" w:color="auto" w:sz="8" w:space="0"/>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5" w:type="dxa"/>
            <w:vMerge w:val="continue"/>
            <w:tcBorders>
              <w:top w:val="nil"/>
              <w:left w:val="single" w:color="auto" w:sz="8" w:space="0"/>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946" w:type="dxa"/>
            <w:vMerge w:val="continue"/>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3114" w:type="dxa"/>
            <w:tcBorders>
              <w:top w:val="nil"/>
              <w:left w:val="nil"/>
              <w:bottom w:val="single" w:color="auto" w:sz="8" w:space="0"/>
              <w:right w:val="single" w:color="auto" w:sz="8" w:space="0"/>
            </w:tcBorders>
            <w:noWrap w:val="0"/>
            <w:tcMar>
              <w:left w:w="57"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2.其他法律行政法规禁止公开</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5" w:type="dxa"/>
            <w:vMerge w:val="continue"/>
            <w:tcBorders>
              <w:top w:val="nil"/>
              <w:left w:val="single" w:color="auto" w:sz="8" w:space="0"/>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946" w:type="dxa"/>
            <w:vMerge w:val="continue"/>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3114" w:type="dxa"/>
            <w:tcBorders>
              <w:top w:val="nil"/>
              <w:left w:val="nil"/>
              <w:bottom w:val="single" w:color="auto" w:sz="8" w:space="0"/>
              <w:right w:val="single" w:color="auto" w:sz="8" w:space="0"/>
            </w:tcBorders>
            <w:noWrap w:val="0"/>
            <w:tcMar>
              <w:left w:w="57"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3.危及“三安全一稳定”</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5" w:type="dxa"/>
            <w:vMerge w:val="continue"/>
            <w:tcBorders>
              <w:top w:val="nil"/>
              <w:left w:val="single" w:color="auto" w:sz="8" w:space="0"/>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946" w:type="dxa"/>
            <w:vMerge w:val="continue"/>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3114" w:type="dxa"/>
            <w:tcBorders>
              <w:top w:val="nil"/>
              <w:left w:val="nil"/>
              <w:bottom w:val="single" w:color="auto" w:sz="8" w:space="0"/>
              <w:right w:val="single" w:color="auto" w:sz="8" w:space="0"/>
            </w:tcBorders>
            <w:noWrap w:val="0"/>
            <w:tcMar>
              <w:left w:w="57"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4.保护第三方合法权益</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5" w:type="dxa"/>
            <w:vMerge w:val="continue"/>
            <w:tcBorders>
              <w:top w:val="nil"/>
              <w:left w:val="single" w:color="auto" w:sz="8" w:space="0"/>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946" w:type="dxa"/>
            <w:vMerge w:val="continue"/>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3114" w:type="dxa"/>
            <w:tcBorders>
              <w:top w:val="nil"/>
              <w:left w:val="nil"/>
              <w:bottom w:val="single" w:color="auto" w:sz="8" w:space="0"/>
              <w:right w:val="single" w:color="auto" w:sz="8" w:space="0"/>
            </w:tcBorders>
            <w:noWrap w:val="0"/>
            <w:tcMar>
              <w:left w:w="57"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5.属于三类内部事务信息</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5" w:type="dxa"/>
            <w:vMerge w:val="continue"/>
            <w:tcBorders>
              <w:top w:val="nil"/>
              <w:left w:val="single" w:color="auto" w:sz="8" w:space="0"/>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946" w:type="dxa"/>
            <w:vMerge w:val="continue"/>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3114" w:type="dxa"/>
            <w:tcBorders>
              <w:top w:val="nil"/>
              <w:left w:val="nil"/>
              <w:bottom w:val="single" w:color="auto" w:sz="8" w:space="0"/>
              <w:right w:val="single" w:color="auto" w:sz="8" w:space="0"/>
            </w:tcBorders>
            <w:noWrap w:val="0"/>
            <w:tcMar>
              <w:left w:w="57"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6.属于四类过程性信息</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5" w:type="dxa"/>
            <w:vMerge w:val="continue"/>
            <w:tcBorders>
              <w:top w:val="nil"/>
              <w:left w:val="single" w:color="auto" w:sz="8" w:space="0"/>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946" w:type="dxa"/>
            <w:vMerge w:val="continue"/>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3114" w:type="dxa"/>
            <w:tcBorders>
              <w:top w:val="nil"/>
              <w:left w:val="nil"/>
              <w:bottom w:val="single" w:color="auto" w:sz="8" w:space="0"/>
              <w:right w:val="single" w:color="auto" w:sz="8" w:space="0"/>
            </w:tcBorders>
            <w:noWrap w:val="0"/>
            <w:tcMar>
              <w:left w:w="57"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7.属于行政执法案卷</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5" w:type="dxa"/>
            <w:vMerge w:val="continue"/>
            <w:tcBorders>
              <w:top w:val="nil"/>
              <w:left w:val="single" w:color="auto" w:sz="8" w:space="0"/>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946" w:type="dxa"/>
            <w:vMerge w:val="continue"/>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3114" w:type="dxa"/>
            <w:tcBorders>
              <w:top w:val="nil"/>
              <w:left w:val="nil"/>
              <w:bottom w:val="single" w:color="auto" w:sz="8" w:space="0"/>
              <w:right w:val="single" w:color="auto" w:sz="8" w:space="0"/>
            </w:tcBorders>
            <w:noWrap w:val="0"/>
            <w:tcMar>
              <w:left w:w="57"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8.属于行政查询事项</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5" w:type="dxa"/>
            <w:vMerge w:val="continue"/>
            <w:tcBorders>
              <w:top w:val="nil"/>
              <w:left w:val="single" w:color="auto" w:sz="8" w:space="0"/>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946" w:type="dxa"/>
            <w:vMerge w:val="restart"/>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kern w:val="0"/>
                <w:sz w:val="24"/>
                <w:szCs w:val="24"/>
                <w:lang w:val="en-US" w:eastAsia="zh-CN" w:bidi="ar"/>
              </w:rPr>
            </w:pPr>
            <w:r>
              <w:rPr>
                <w:rFonts w:hint="eastAsia" w:ascii="黑体" w:hAnsi="黑体" w:eastAsia="黑体" w:cs="黑体"/>
                <w:kern w:val="0"/>
                <w:sz w:val="24"/>
                <w:szCs w:val="24"/>
                <w:lang w:val="en-US" w:eastAsia="zh-CN" w:bidi="ar"/>
              </w:rPr>
              <w:t>（四）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无法提供</w:t>
            </w:r>
          </w:p>
        </w:tc>
        <w:tc>
          <w:tcPr>
            <w:tcW w:w="3114" w:type="dxa"/>
            <w:tcBorders>
              <w:top w:val="nil"/>
              <w:left w:val="nil"/>
              <w:bottom w:val="single" w:color="auto" w:sz="8" w:space="0"/>
              <w:right w:val="single" w:color="auto" w:sz="8" w:space="0"/>
            </w:tcBorders>
            <w:noWrap w:val="0"/>
            <w:tcMar>
              <w:left w:w="57"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1.本机关不掌握相关政府信息</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2</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5" w:type="dxa"/>
            <w:vMerge w:val="continue"/>
            <w:tcBorders>
              <w:top w:val="nil"/>
              <w:left w:val="single" w:color="auto" w:sz="8" w:space="0"/>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946" w:type="dxa"/>
            <w:vMerge w:val="continue"/>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3114" w:type="dxa"/>
            <w:tcBorders>
              <w:top w:val="nil"/>
              <w:left w:val="nil"/>
              <w:bottom w:val="single" w:color="auto" w:sz="8" w:space="0"/>
              <w:right w:val="single" w:color="auto" w:sz="8" w:space="0"/>
            </w:tcBorders>
            <w:noWrap w:val="0"/>
            <w:tcMar>
              <w:left w:w="57"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2.没有现成信息需要另行制作</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5" w:type="dxa"/>
            <w:vMerge w:val="continue"/>
            <w:tcBorders>
              <w:top w:val="nil"/>
              <w:left w:val="single" w:color="auto" w:sz="8" w:space="0"/>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946" w:type="dxa"/>
            <w:vMerge w:val="continue"/>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3114" w:type="dxa"/>
            <w:tcBorders>
              <w:top w:val="nil"/>
              <w:left w:val="nil"/>
              <w:bottom w:val="single" w:color="auto" w:sz="8" w:space="0"/>
              <w:right w:val="single" w:color="auto" w:sz="8" w:space="0"/>
            </w:tcBorders>
            <w:noWrap w:val="0"/>
            <w:tcMar>
              <w:left w:w="57"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3.补正后申请内容仍不明确</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5" w:type="dxa"/>
            <w:vMerge w:val="continue"/>
            <w:tcBorders>
              <w:top w:val="nil"/>
              <w:left w:val="single" w:color="auto" w:sz="8" w:space="0"/>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946" w:type="dxa"/>
            <w:vMerge w:val="restart"/>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（五）不予处理</w:t>
            </w:r>
          </w:p>
        </w:tc>
        <w:tc>
          <w:tcPr>
            <w:tcW w:w="3114" w:type="dxa"/>
            <w:tcBorders>
              <w:top w:val="nil"/>
              <w:left w:val="nil"/>
              <w:bottom w:val="single" w:color="auto" w:sz="8" w:space="0"/>
              <w:right w:val="single" w:color="auto" w:sz="8" w:space="0"/>
            </w:tcBorders>
            <w:noWrap w:val="0"/>
            <w:tcMar>
              <w:left w:w="57"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1.信访举报投诉类申请</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5" w:type="dxa"/>
            <w:vMerge w:val="continue"/>
            <w:tcBorders>
              <w:top w:val="nil"/>
              <w:left w:val="single" w:color="auto" w:sz="8" w:space="0"/>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946" w:type="dxa"/>
            <w:vMerge w:val="continue"/>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3114" w:type="dxa"/>
            <w:tcBorders>
              <w:top w:val="nil"/>
              <w:left w:val="nil"/>
              <w:bottom w:val="single" w:color="auto" w:sz="8" w:space="0"/>
              <w:right w:val="single" w:color="auto" w:sz="8" w:space="0"/>
            </w:tcBorders>
            <w:noWrap w:val="0"/>
            <w:tcMar>
              <w:left w:w="57"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2.重复申请</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5" w:type="dxa"/>
            <w:vMerge w:val="continue"/>
            <w:tcBorders>
              <w:top w:val="nil"/>
              <w:left w:val="single" w:color="auto" w:sz="8" w:space="0"/>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946" w:type="dxa"/>
            <w:vMerge w:val="continue"/>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3114" w:type="dxa"/>
            <w:tcBorders>
              <w:top w:val="nil"/>
              <w:left w:val="nil"/>
              <w:bottom w:val="single" w:color="auto" w:sz="8" w:space="0"/>
              <w:right w:val="single" w:color="auto" w:sz="8" w:space="0"/>
            </w:tcBorders>
            <w:noWrap w:val="0"/>
            <w:tcMar>
              <w:left w:w="57"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3.要求提供公开出版物</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5" w:type="dxa"/>
            <w:vMerge w:val="continue"/>
            <w:tcBorders>
              <w:top w:val="nil"/>
              <w:left w:val="single" w:color="auto" w:sz="8" w:space="0"/>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946" w:type="dxa"/>
            <w:vMerge w:val="continue"/>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3114" w:type="dxa"/>
            <w:tcBorders>
              <w:top w:val="nil"/>
              <w:left w:val="nil"/>
              <w:bottom w:val="single" w:color="auto" w:sz="8" w:space="0"/>
              <w:right w:val="single" w:color="auto" w:sz="8" w:space="0"/>
            </w:tcBorders>
            <w:noWrap w:val="0"/>
            <w:tcMar>
              <w:left w:w="57" w:type="dxa"/>
              <w:right w:w="57" w:type="dxa"/>
            </w:tcMar>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4.无正当理由大量反复申请</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79" w:hRule="atLeast"/>
          <w:jc w:val="center"/>
        </w:trPr>
        <w:tc>
          <w:tcPr>
            <w:tcW w:w="765" w:type="dxa"/>
            <w:vMerge w:val="continue"/>
            <w:tcBorders>
              <w:top w:val="nil"/>
              <w:left w:val="single" w:color="auto" w:sz="8" w:space="0"/>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946" w:type="dxa"/>
            <w:vMerge w:val="continue"/>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3114" w:type="dxa"/>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5.要求行政机关确认或重新出具已获取信息</w:t>
            </w:r>
          </w:p>
        </w:tc>
        <w:tc>
          <w:tcPr>
            <w:tcW w:w="543" w:type="dxa"/>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863" w:type="dxa"/>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690" w:type="dxa"/>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17" w:type="dxa"/>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4" w:type="dxa"/>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outset"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5" w:type="dxa"/>
            <w:vMerge w:val="continue"/>
            <w:tcBorders>
              <w:top w:val="nil"/>
              <w:left w:val="single" w:color="auto" w:sz="8" w:space="0"/>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946" w:type="dxa"/>
            <w:vMerge w:val="restart"/>
            <w:tcBorders>
              <w:top w:val="outset" w:color="auto" w:sz="8" w:space="0"/>
              <w:left w:val="nil"/>
              <w:bottom w:val="outset"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kern w:val="0"/>
                <w:sz w:val="24"/>
                <w:szCs w:val="24"/>
                <w:lang w:val="en-US" w:eastAsia="zh-CN" w:bidi="ar"/>
              </w:rPr>
            </w:pPr>
            <w:r>
              <w:rPr>
                <w:rFonts w:hint="eastAsia" w:ascii="黑体" w:hAnsi="黑体" w:eastAsia="黑体" w:cs="黑体"/>
                <w:kern w:val="0"/>
                <w:sz w:val="24"/>
                <w:szCs w:val="24"/>
                <w:lang w:val="en-US" w:eastAsia="zh-CN" w:bidi="ar"/>
              </w:rPr>
              <w:t>（六）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其他处理</w:t>
            </w:r>
          </w:p>
        </w:tc>
        <w:tc>
          <w:tcPr>
            <w:tcW w:w="311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1.申请人无正当理由逾期不补正、行政机关不再处理其政府信息公开申请</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5" w:type="dxa"/>
            <w:vMerge w:val="continue"/>
            <w:tcBorders>
              <w:top w:val="nil"/>
              <w:left w:val="single" w:color="auto" w:sz="8" w:space="0"/>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946" w:type="dxa"/>
            <w:vMerge w:val="continue"/>
            <w:tcBorders>
              <w:top w:val="outset" w:color="auto" w:sz="8" w:space="0"/>
              <w:left w:val="nil"/>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311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2.申请人逾期未按收费通知要求缴纳费用、行政机关不再处理其政府信息公开申请</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5" w:type="dxa"/>
            <w:vMerge w:val="continue"/>
            <w:tcBorders>
              <w:top w:val="nil"/>
              <w:left w:val="single" w:color="auto" w:sz="8" w:space="0"/>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946" w:type="dxa"/>
            <w:vMerge w:val="continue"/>
            <w:tcBorders>
              <w:top w:val="outset" w:color="auto" w:sz="8" w:space="0"/>
              <w:left w:val="nil"/>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311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3.其他</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65" w:type="dxa"/>
            <w:vMerge w:val="continue"/>
            <w:tcBorders>
              <w:top w:val="nil"/>
              <w:left w:val="single" w:color="auto" w:sz="8" w:space="0"/>
              <w:bottom w:val="outset" w:color="auto" w:sz="8" w:space="0"/>
              <w:right w:val="single" w:color="auto" w:sz="8" w:space="0"/>
            </w:tcBorders>
            <w:noWrap w:val="0"/>
            <w:tcMar>
              <w:left w:w="57" w:type="dxa"/>
              <w:right w:w="57"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4060" w:type="dxa"/>
            <w:gridSpan w:val="2"/>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（七）总计</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2</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825" w:type="dxa"/>
            <w:gridSpan w:val="3"/>
            <w:tcBorders>
              <w:top w:val="nil"/>
              <w:left w:val="single" w:color="auto" w:sz="8" w:space="0"/>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jc w:val="both"/>
              <w:textAlignment w:val="auto"/>
              <w:rPr>
                <w:rFonts w:hint="eastAsia" w:ascii="黑体" w:hAnsi="黑体" w:eastAsia="黑体" w:cs="黑体"/>
                <w:sz w:val="28"/>
                <w:szCs w:val="28"/>
              </w:rPr>
            </w:pPr>
            <w:r>
              <w:rPr>
                <w:rFonts w:hint="eastAsia" w:ascii="黑体" w:hAnsi="黑体" w:eastAsia="黑体" w:cs="黑体"/>
                <w:kern w:val="0"/>
                <w:sz w:val="28"/>
                <w:szCs w:val="28"/>
                <w:lang w:val="en-US" w:eastAsia="zh-CN" w:bidi="ar"/>
              </w:rPr>
              <w:t>四、结转下年度继续办理</w:t>
            </w:r>
          </w:p>
        </w:tc>
        <w:tc>
          <w:tcPr>
            <w:tcW w:w="54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86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690"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17"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4"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703" w:type="dxa"/>
            <w:tcBorders>
              <w:top w:val="nil"/>
              <w:left w:val="nil"/>
              <w:bottom w:val="single" w:color="auto" w:sz="8" w:space="0"/>
              <w:right w:val="single" w:color="auto" w:sz="8" w:space="0"/>
            </w:tcBorders>
            <w:noWrap w:val="0"/>
            <w:tcMar>
              <w:left w:w="57"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right="0" w:right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r>
    </w:tbl>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right="0"/>
        <w:jc w:val="both"/>
        <w:textAlignment w:val="auto"/>
        <w:rPr>
          <w:rFonts w:hint="eastAsia" w:ascii="黑体" w:hAnsi="黑体" w:eastAsia="黑体" w:cs="黑体"/>
          <w:b w:val="0"/>
          <w:bCs w:val="0"/>
          <w:i w:val="0"/>
          <w:iCs w:val="0"/>
          <w:caps w:val="0"/>
          <w:color w:val="333333"/>
          <w:spacing w:val="0"/>
          <w:sz w:val="32"/>
          <w:szCs w:val="32"/>
          <w:shd w:val="clear" w:color="auto" w:fill="FFFFFF"/>
        </w:rPr>
      </w:pPr>
    </w:p>
    <w:p>
      <w:pPr>
        <w:pStyle w:val="5"/>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left="0" w:leftChars="0" w:right="0" w:firstLine="0" w:firstLineChars="0"/>
        <w:jc w:val="both"/>
        <w:textAlignment w:val="auto"/>
        <w:rPr>
          <w:rFonts w:hint="eastAsia" w:ascii="黑体" w:hAnsi="黑体" w:eastAsia="黑体" w:cs="黑体"/>
          <w:b w:val="0"/>
          <w:bCs w:val="0"/>
          <w:i w:val="0"/>
          <w:iCs w:val="0"/>
          <w:caps w:val="0"/>
          <w:color w:val="333333"/>
          <w:spacing w:val="0"/>
          <w:sz w:val="32"/>
          <w:szCs w:val="32"/>
          <w:shd w:val="clear" w:color="auto" w:fill="FFFFFF"/>
        </w:rPr>
      </w:pPr>
      <w:r>
        <w:rPr>
          <w:rFonts w:hint="eastAsia" w:ascii="黑体" w:hAnsi="黑体" w:eastAsia="黑体" w:cs="黑体"/>
          <w:b w:val="0"/>
          <w:bCs w:val="0"/>
          <w:i w:val="0"/>
          <w:iCs w:val="0"/>
          <w:caps w:val="0"/>
          <w:color w:val="333333"/>
          <w:spacing w:val="0"/>
          <w:sz w:val="32"/>
          <w:szCs w:val="32"/>
          <w:shd w:val="clear" w:color="auto" w:fill="FFFFFF"/>
        </w:rPr>
        <w:t>政府信息公开行政复议、行政诉讼情况</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leftChars="0" w:right="0" w:rightChars="0"/>
        <w:jc w:val="both"/>
        <w:textAlignment w:val="auto"/>
        <w:rPr>
          <w:rFonts w:hint="eastAsia" w:ascii="黑体" w:hAnsi="黑体" w:eastAsia="黑体" w:cs="黑体"/>
          <w:b w:val="0"/>
          <w:bCs w:val="0"/>
          <w:i w:val="0"/>
          <w:iCs w:val="0"/>
          <w:caps w:val="0"/>
          <w:color w:val="333333"/>
          <w:spacing w:val="0"/>
          <w:sz w:val="32"/>
          <w:szCs w:val="32"/>
          <w:shd w:val="clear" w:color="auto" w:fill="FFFFFF"/>
        </w:rPr>
      </w:pPr>
    </w:p>
    <w:tbl>
      <w:tblPr>
        <w:tblStyle w:val="6"/>
        <w:tblW w:w="9748"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49"/>
        <w:gridCol w:w="649"/>
        <w:gridCol w:w="649"/>
        <w:gridCol w:w="649"/>
        <w:gridCol w:w="649"/>
        <w:gridCol w:w="649"/>
        <w:gridCol w:w="649"/>
        <w:gridCol w:w="650"/>
        <w:gridCol w:w="650"/>
        <w:gridCol w:w="650"/>
        <w:gridCol w:w="651"/>
        <w:gridCol w:w="651"/>
        <w:gridCol w:w="651"/>
        <w:gridCol w:w="651"/>
        <w:gridCol w:w="65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245"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行政复议</w:t>
            </w:r>
          </w:p>
        </w:tc>
        <w:tc>
          <w:tcPr>
            <w:tcW w:w="6503" w:type="dxa"/>
            <w:gridSpan w:val="10"/>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行政诉讼</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49"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结果维持</w:t>
            </w:r>
          </w:p>
        </w:tc>
        <w:tc>
          <w:tcPr>
            <w:tcW w:w="649"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结果</w:t>
            </w:r>
            <w:r>
              <w:rPr>
                <w:rFonts w:hint="eastAsia" w:ascii="黑体" w:hAnsi="黑体" w:eastAsia="黑体" w:cs="黑体"/>
                <w:kern w:val="0"/>
                <w:sz w:val="24"/>
                <w:szCs w:val="24"/>
                <w:lang w:val="en-US" w:eastAsia="zh-CN" w:bidi="ar"/>
              </w:rPr>
              <w:br w:type="textWrapping"/>
            </w:r>
            <w:r>
              <w:rPr>
                <w:rFonts w:hint="eastAsia" w:ascii="黑体" w:hAnsi="黑体" w:eastAsia="黑体" w:cs="黑体"/>
                <w:kern w:val="0"/>
                <w:sz w:val="24"/>
                <w:szCs w:val="24"/>
                <w:lang w:val="en-US" w:eastAsia="zh-CN" w:bidi="ar"/>
              </w:rPr>
              <w:t>纠正</w:t>
            </w:r>
          </w:p>
        </w:tc>
        <w:tc>
          <w:tcPr>
            <w:tcW w:w="649" w:type="dxa"/>
            <w:vMerge w:val="restart"/>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其他</w:t>
            </w:r>
            <w:r>
              <w:rPr>
                <w:rFonts w:hint="eastAsia" w:ascii="黑体" w:hAnsi="黑体" w:eastAsia="黑体" w:cs="黑体"/>
                <w:kern w:val="0"/>
                <w:sz w:val="24"/>
                <w:szCs w:val="24"/>
                <w:lang w:val="en-US" w:eastAsia="zh-CN" w:bidi="ar"/>
              </w:rPr>
              <w:br w:type="textWrapping"/>
            </w:r>
            <w:r>
              <w:rPr>
                <w:rFonts w:hint="eastAsia" w:ascii="黑体" w:hAnsi="黑体" w:eastAsia="黑体" w:cs="黑体"/>
                <w:kern w:val="0"/>
                <w:sz w:val="24"/>
                <w:szCs w:val="24"/>
                <w:lang w:val="en-US" w:eastAsia="zh-CN" w:bidi="ar"/>
              </w:rPr>
              <w:t>结果</w:t>
            </w:r>
          </w:p>
        </w:tc>
        <w:tc>
          <w:tcPr>
            <w:tcW w:w="649" w:type="dxa"/>
            <w:vMerge w:val="restart"/>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尚未</w:t>
            </w:r>
            <w:r>
              <w:rPr>
                <w:rFonts w:hint="eastAsia" w:ascii="黑体" w:hAnsi="黑体" w:eastAsia="黑体" w:cs="黑体"/>
                <w:kern w:val="0"/>
                <w:sz w:val="24"/>
                <w:szCs w:val="24"/>
                <w:lang w:val="en-US" w:eastAsia="zh-CN" w:bidi="ar"/>
              </w:rPr>
              <w:br w:type="textWrapping"/>
            </w:r>
            <w:r>
              <w:rPr>
                <w:rFonts w:hint="eastAsia" w:ascii="黑体" w:hAnsi="黑体" w:eastAsia="黑体" w:cs="黑体"/>
                <w:kern w:val="0"/>
                <w:sz w:val="24"/>
                <w:szCs w:val="24"/>
                <w:lang w:val="en-US" w:eastAsia="zh-CN" w:bidi="ar"/>
              </w:rPr>
              <w:t>审结</w:t>
            </w:r>
          </w:p>
        </w:tc>
        <w:tc>
          <w:tcPr>
            <w:tcW w:w="649" w:type="dxa"/>
            <w:vMerge w:val="restart"/>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总计</w:t>
            </w:r>
          </w:p>
        </w:tc>
        <w:tc>
          <w:tcPr>
            <w:tcW w:w="3248"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未经复议直接起诉</w:t>
            </w:r>
          </w:p>
        </w:tc>
        <w:tc>
          <w:tcPr>
            <w:tcW w:w="3255"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复议后起诉</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4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649"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649" w:type="dxa"/>
            <w:vMerge w:val="continue"/>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649" w:type="dxa"/>
            <w:vMerge w:val="continue"/>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649" w:type="dxa"/>
            <w:vMerge w:val="continue"/>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kinsoku/>
              <w:wordWrap/>
              <w:overflowPunct/>
              <w:topLinePunct w:val="0"/>
              <w:autoSpaceDE/>
              <w:autoSpaceDN/>
              <w:bidi w:val="0"/>
              <w:adjustRightInd/>
              <w:spacing w:line="560" w:lineRule="exact"/>
              <w:jc w:val="both"/>
              <w:textAlignment w:val="auto"/>
              <w:rPr>
                <w:rFonts w:hint="eastAsia" w:ascii="黑体" w:hAnsi="黑体" w:eastAsia="黑体" w:cs="黑体"/>
                <w:sz w:val="24"/>
                <w:szCs w:val="24"/>
              </w:rPr>
            </w:pPr>
          </w:p>
        </w:tc>
        <w:tc>
          <w:tcPr>
            <w:tcW w:w="649" w:type="dxa"/>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结果</w:t>
            </w:r>
            <w:r>
              <w:rPr>
                <w:rFonts w:hint="eastAsia" w:ascii="黑体" w:hAnsi="黑体" w:eastAsia="黑体" w:cs="黑体"/>
                <w:kern w:val="0"/>
                <w:sz w:val="24"/>
                <w:szCs w:val="24"/>
                <w:lang w:val="en-US" w:eastAsia="zh-CN" w:bidi="ar"/>
              </w:rPr>
              <w:br w:type="textWrapping"/>
            </w:r>
            <w:r>
              <w:rPr>
                <w:rFonts w:hint="eastAsia" w:ascii="黑体" w:hAnsi="黑体" w:eastAsia="黑体" w:cs="黑体"/>
                <w:kern w:val="0"/>
                <w:sz w:val="24"/>
                <w:szCs w:val="24"/>
                <w:lang w:val="en-US" w:eastAsia="zh-CN" w:bidi="ar"/>
              </w:rPr>
              <w:t>维持</w:t>
            </w:r>
          </w:p>
        </w:tc>
        <w:tc>
          <w:tcPr>
            <w:tcW w:w="649" w:type="dxa"/>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结果</w:t>
            </w:r>
            <w:r>
              <w:rPr>
                <w:rFonts w:hint="eastAsia" w:ascii="黑体" w:hAnsi="黑体" w:eastAsia="黑体" w:cs="黑体"/>
                <w:kern w:val="0"/>
                <w:sz w:val="24"/>
                <w:szCs w:val="24"/>
                <w:lang w:val="en-US" w:eastAsia="zh-CN" w:bidi="ar"/>
              </w:rPr>
              <w:br w:type="textWrapping"/>
            </w:r>
            <w:r>
              <w:rPr>
                <w:rFonts w:hint="eastAsia" w:ascii="黑体" w:hAnsi="黑体" w:eastAsia="黑体" w:cs="黑体"/>
                <w:kern w:val="0"/>
                <w:sz w:val="24"/>
                <w:szCs w:val="24"/>
                <w:lang w:val="en-US" w:eastAsia="zh-CN" w:bidi="ar"/>
              </w:rPr>
              <w:t>纠正</w:t>
            </w:r>
          </w:p>
        </w:tc>
        <w:tc>
          <w:tcPr>
            <w:tcW w:w="650"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其他</w:t>
            </w:r>
            <w:r>
              <w:rPr>
                <w:rFonts w:hint="eastAsia" w:ascii="黑体" w:hAnsi="黑体" w:eastAsia="黑体" w:cs="黑体"/>
                <w:kern w:val="0"/>
                <w:sz w:val="24"/>
                <w:szCs w:val="24"/>
                <w:lang w:val="en-US" w:eastAsia="zh-CN" w:bidi="ar"/>
              </w:rPr>
              <w:br w:type="textWrapping"/>
            </w:r>
            <w:r>
              <w:rPr>
                <w:rFonts w:hint="eastAsia" w:ascii="黑体" w:hAnsi="黑体" w:eastAsia="黑体" w:cs="黑体"/>
                <w:kern w:val="0"/>
                <w:sz w:val="24"/>
                <w:szCs w:val="24"/>
                <w:lang w:val="en-US" w:eastAsia="zh-CN" w:bidi="ar"/>
              </w:rPr>
              <w:t>结果</w:t>
            </w:r>
          </w:p>
        </w:tc>
        <w:tc>
          <w:tcPr>
            <w:tcW w:w="650"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尚未</w:t>
            </w:r>
            <w:r>
              <w:rPr>
                <w:rFonts w:hint="eastAsia" w:ascii="黑体" w:hAnsi="黑体" w:eastAsia="黑体" w:cs="黑体"/>
                <w:kern w:val="0"/>
                <w:sz w:val="24"/>
                <w:szCs w:val="24"/>
                <w:lang w:val="en-US" w:eastAsia="zh-CN" w:bidi="ar"/>
              </w:rPr>
              <w:br w:type="textWrapping"/>
            </w:r>
            <w:r>
              <w:rPr>
                <w:rFonts w:hint="eastAsia" w:ascii="黑体" w:hAnsi="黑体" w:eastAsia="黑体" w:cs="黑体"/>
                <w:kern w:val="0"/>
                <w:sz w:val="24"/>
                <w:szCs w:val="24"/>
                <w:lang w:val="en-US" w:eastAsia="zh-CN" w:bidi="ar"/>
              </w:rPr>
              <w:t>审结</w:t>
            </w:r>
          </w:p>
        </w:tc>
        <w:tc>
          <w:tcPr>
            <w:tcW w:w="650"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总计</w:t>
            </w:r>
          </w:p>
        </w:tc>
        <w:tc>
          <w:tcPr>
            <w:tcW w:w="651"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结果</w:t>
            </w:r>
            <w:r>
              <w:rPr>
                <w:rFonts w:hint="eastAsia" w:ascii="黑体" w:hAnsi="黑体" w:eastAsia="黑体" w:cs="黑体"/>
                <w:kern w:val="0"/>
                <w:sz w:val="24"/>
                <w:szCs w:val="24"/>
                <w:lang w:val="en-US" w:eastAsia="zh-CN" w:bidi="ar"/>
              </w:rPr>
              <w:br w:type="textWrapping"/>
            </w:r>
            <w:r>
              <w:rPr>
                <w:rFonts w:hint="eastAsia" w:ascii="黑体" w:hAnsi="黑体" w:eastAsia="黑体" w:cs="黑体"/>
                <w:kern w:val="0"/>
                <w:sz w:val="24"/>
                <w:szCs w:val="24"/>
                <w:lang w:val="en-US" w:eastAsia="zh-CN" w:bidi="ar"/>
              </w:rPr>
              <w:t>维持</w:t>
            </w:r>
          </w:p>
        </w:tc>
        <w:tc>
          <w:tcPr>
            <w:tcW w:w="651"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结果</w:t>
            </w:r>
            <w:r>
              <w:rPr>
                <w:rFonts w:hint="eastAsia" w:ascii="黑体" w:hAnsi="黑体" w:eastAsia="黑体" w:cs="黑体"/>
                <w:kern w:val="0"/>
                <w:sz w:val="24"/>
                <w:szCs w:val="24"/>
                <w:lang w:val="en-US" w:eastAsia="zh-CN" w:bidi="ar"/>
              </w:rPr>
              <w:br w:type="textWrapping"/>
            </w:r>
            <w:r>
              <w:rPr>
                <w:rFonts w:hint="eastAsia" w:ascii="黑体" w:hAnsi="黑体" w:eastAsia="黑体" w:cs="黑体"/>
                <w:kern w:val="0"/>
                <w:sz w:val="24"/>
                <w:szCs w:val="24"/>
                <w:lang w:val="en-US" w:eastAsia="zh-CN" w:bidi="ar"/>
              </w:rPr>
              <w:t>纠正</w:t>
            </w:r>
          </w:p>
        </w:tc>
        <w:tc>
          <w:tcPr>
            <w:tcW w:w="651"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其他</w:t>
            </w:r>
            <w:r>
              <w:rPr>
                <w:rFonts w:hint="eastAsia" w:ascii="黑体" w:hAnsi="黑体" w:eastAsia="黑体" w:cs="黑体"/>
                <w:kern w:val="0"/>
                <w:sz w:val="24"/>
                <w:szCs w:val="24"/>
                <w:lang w:val="en-US" w:eastAsia="zh-CN" w:bidi="ar"/>
              </w:rPr>
              <w:br w:type="textWrapping"/>
            </w:r>
            <w:r>
              <w:rPr>
                <w:rFonts w:hint="eastAsia" w:ascii="黑体" w:hAnsi="黑体" w:eastAsia="黑体" w:cs="黑体"/>
                <w:kern w:val="0"/>
                <w:sz w:val="24"/>
                <w:szCs w:val="24"/>
                <w:lang w:val="en-US" w:eastAsia="zh-CN" w:bidi="ar"/>
              </w:rPr>
              <w:t>结果</w:t>
            </w:r>
          </w:p>
        </w:tc>
        <w:tc>
          <w:tcPr>
            <w:tcW w:w="651"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尚未</w:t>
            </w:r>
            <w:r>
              <w:rPr>
                <w:rFonts w:hint="eastAsia" w:ascii="黑体" w:hAnsi="黑体" w:eastAsia="黑体" w:cs="黑体"/>
                <w:kern w:val="0"/>
                <w:sz w:val="24"/>
                <w:szCs w:val="24"/>
                <w:lang w:val="en-US" w:eastAsia="zh-CN" w:bidi="ar"/>
              </w:rPr>
              <w:br w:type="textWrapping"/>
            </w:r>
            <w:r>
              <w:rPr>
                <w:rFonts w:hint="eastAsia" w:ascii="黑体" w:hAnsi="黑体" w:eastAsia="黑体" w:cs="黑体"/>
                <w:kern w:val="0"/>
                <w:sz w:val="24"/>
                <w:szCs w:val="24"/>
                <w:lang w:val="en-US" w:eastAsia="zh-CN" w:bidi="ar"/>
              </w:rPr>
              <w:t>审结</w:t>
            </w:r>
          </w:p>
        </w:tc>
        <w:tc>
          <w:tcPr>
            <w:tcW w:w="651" w:type="dxa"/>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总计</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72" w:hRule="atLeast"/>
          <w:jc w:val="center"/>
        </w:trPr>
        <w:tc>
          <w:tcPr>
            <w:tcW w:w="649" w:type="dxa"/>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0</w:t>
            </w:r>
          </w:p>
        </w:tc>
        <w:tc>
          <w:tcPr>
            <w:tcW w:w="649" w:type="dxa"/>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default" w:ascii="黑体" w:hAnsi="黑体" w:eastAsia="黑体" w:cs="黑体"/>
                <w:sz w:val="24"/>
                <w:szCs w:val="24"/>
                <w:lang w:val="en-US"/>
              </w:rPr>
            </w:pPr>
            <w:r>
              <w:rPr>
                <w:rFonts w:hint="eastAsia" w:ascii="黑体" w:hAnsi="黑体" w:eastAsia="黑体" w:cs="黑体"/>
                <w:kern w:val="0"/>
                <w:sz w:val="24"/>
                <w:szCs w:val="24"/>
                <w:lang w:val="en-US" w:eastAsia="zh-CN" w:bidi="ar"/>
              </w:rPr>
              <w:t> 0</w:t>
            </w:r>
          </w:p>
        </w:tc>
        <w:tc>
          <w:tcPr>
            <w:tcW w:w="649" w:type="dxa"/>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default" w:ascii="黑体" w:hAnsi="黑体" w:eastAsia="黑体" w:cs="黑体"/>
                <w:sz w:val="24"/>
                <w:szCs w:val="24"/>
                <w:lang w:val="en-US"/>
              </w:rPr>
            </w:pPr>
            <w:r>
              <w:rPr>
                <w:rFonts w:hint="eastAsia" w:ascii="黑体" w:hAnsi="黑体" w:eastAsia="黑体" w:cs="黑体"/>
                <w:kern w:val="0"/>
                <w:sz w:val="24"/>
                <w:szCs w:val="24"/>
                <w:lang w:val="en-US" w:eastAsia="zh-CN" w:bidi="ar"/>
              </w:rPr>
              <w:t> 0</w:t>
            </w:r>
          </w:p>
        </w:tc>
        <w:tc>
          <w:tcPr>
            <w:tcW w:w="649" w:type="dxa"/>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default" w:ascii="黑体" w:hAnsi="黑体" w:eastAsia="黑体" w:cs="黑体"/>
                <w:sz w:val="24"/>
                <w:szCs w:val="24"/>
                <w:lang w:val="en-US"/>
              </w:rPr>
            </w:pPr>
            <w:r>
              <w:rPr>
                <w:rFonts w:hint="eastAsia" w:ascii="黑体" w:hAnsi="黑体" w:eastAsia="黑体" w:cs="黑体"/>
                <w:kern w:val="0"/>
                <w:sz w:val="24"/>
                <w:szCs w:val="24"/>
                <w:lang w:val="en-US" w:eastAsia="zh-CN" w:bidi="ar"/>
              </w:rPr>
              <w:t> 0</w:t>
            </w:r>
          </w:p>
        </w:tc>
        <w:tc>
          <w:tcPr>
            <w:tcW w:w="649" w:type="dxa"/>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default" w:ascii="黑体" w:hAnsi="黑体" w:eastAsia="黑体" w:cs="黑体"/>
                <w:sz w:val="24"/>
                <w:szCs w:val="24"/>
                <w:lang w:val="en-US"/>
              </w:rPr>
            </w:pPr>
            <w:r>
              <w:rPr>
                <w:rFonts w:hint="eastAsia" w:ascii="黑体" w:hAnsi="黑体" w:eastAsia="黑体" w:cs="黑体"/>
                <w:kern w:val="0"/>
                <w:sz w:val="24"/>
                <w:szCs w:val="24"/>
                <w:lang w:val="en-US" w:eastAsia="zh-CN" w:bidi="ar"/>
              </w:rPr>
              <w:t>0</w:t>
            </w:r>
          </w:p>
        </w:tc>
        <w:tc>
          <w:tcPr>
            <w:tcW w:w="649" w:type="dxa"/>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default" w:ascii="黑体" w:hAnsi="黑体" w:eastAsia="黑体" w:cs="黑体"/>
                <w:sz w:val="24"/>
                <w:szCs w:val="24"/>
                <w:lang w:val="en-US"/>
              </w:rPr>
            </w:pPr>
            <w:r>
              <w:rPr>
                <w:rFonts w:hint="eastAsia" w:ascii="黑体" w:hAnsi="黑体" w:eastAsia="黑体" w:cs="黑体"/>
                <w:kern w:val="0"/>
                <w:sz w:val="24"/>
                <w:szCs w:val="24"/>
                <w:lang w:val="en-US" w:eastAsia="zh-CN" w:bidi="ar"/>
              </w:rPr>
              <w:t> 0</w:t>
            </w:r>
          </w:p>
        </w:tc>
        <w:tc>
          <w:tcPr>
            <w:tcW w:w="649" w:type="dxa"/>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0</w:t>
            </w:r>
          </w:p>
        </w:tc>
        <w:tc>
          <w:tcPr>
            <w:tcW w:w="650" w:type="dxa"/>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default" w:ascii="黑体" w:hAnsi="黑体" w:eastAsia="黑体" w:cs="黑体"/>
                <w:sz w:val="24"/>
                <w:szCs w:val="24"/>
                <w:lang w:val="en-US"/>
              </w:rPr>
            </w:pPr>
            <w:r>
              <w:rPr>
                <w:rFonts w:hint="eastAsia" w:ascii="黑体" w:hAnsi="黑体" w:eastAsia="黑体" w:cs="黑体"/>
                <w:kern w:val="0"/>
                <w:sz w:val="24"/>
                <w:szCs w:val="24"/>
                <w:lang w:val="en-US" w:eastAsia="zh-CN" w:bidi="ar"/>
              </w:rPr>
              <w:t>0</w:t>
            </w:r>
          </w:p>
        </w:tc>
        <w:tc>
          <w:tcPr>
            <w:tcW w:w="650" w:type="dxa"/>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default" w:ascii="黑体" w:hAnsi="黑体" w:eastAsia="黑体" w:cs="黑体"/>
                <w:sz w:val="24"/>
                <w:szCs w:val="24"/>
                <w:lang w:val="en-US"/>
              </w:rPr>
            </w:pPr>
            <w:r>
              <w:rPr>
                <w:rFonts w:hint="eastAsia" w:ascii="黑体" w:hAnsi="黑体" w:eastAsia="黑体" w:cs="黑体"/>
                <w:kern w:val="0"/>
                <w:sz w:val="24"/>
                <w:szCs w:val="24"/>
                <w:lang w:val="en-US" w:eastAsia="zh-CN" w:bidi="ar"/>
              </w:rPr>
              <w:t>0</w:t>
            </w:r>
          </w:p>
        </w:tc>
        <w:tc>
          <w:tcPr>
            <w:tcW w:w="650" w:type="dxa"/>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default" w:ascii="黑体" w:hAnsi="黑体" w:eastAsia="黑体" w:cs="黑体"/>
                <w:sz w:val="24"/>
                <w:szCs w:val="24"/>
                <w:lang w:val="en-US"/>
              </w:rPr>
            </w:pPr>
            <w:r>
              <w:rPr>
                <w:rFonts w:hint="eastAsia" w:ascii="黑体" w:hAnsi="黑体" w:eastAsia="黑体" w:cs="黑体"/>
                <w:kern w:val="0"/>
                <w:sz w:val="24"/>
                <w:szCs w:val="24"/>
                <w:lang w:val="en-US" w:eastAsia="zh-CN" w:bidi="ar"/>
              </w:rPr>
              <w:t>0</w:t>
            </w:r>
          </w:p>
        </w:tc>
        <w:tc>
          <w:tcPr>
            <w:tcW w:w="651" w:type="dxa"/>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default" w:ascii="黑体" w:hAnsi="黑体" w:eastAsia="黑体" w:cs="黑体"/>
                <w:sz w:val="24"/>
                <w:szCs w:val="24"/>
                <w:lang w:val="en-US"/>
              </w:rPr>
            </w:pPr>
            <w:r>
              <w:rPr>
                <w:rFonts w:hint="eastAsia" w:ascii="黑体" w:hAnsi="黑体" w:eastAsia="黑体" w:cs="黑体"/>
                <w:kern w:val="0"/>
                <w:sz w:val="24"/>
                <w:szCs w:val="24"/>
                <w:lang w:val="en-US" w:eastAsia="zh-CN" w:bidi="ar"/>
              </w:rPr>
              <w:t> 0</w:t>
            </w:r>
          </w:p>
        </w:tc>
        <w:tc>
          <w:tcPr>
            <w:tcW w:w="651" w:type="dxa"/>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right="0" w:firstLine="0"/>
              <w:jc w:val="both"/>
              <w:textAlignment w:val="auto"/>
              <w:rPr>
                <w:rFonts w:hint="eastAsia" w:ascii="黑体" w:hAnsi="黑体" w:eastAsia="黑体" w:cs="黑体"/>
                <w:sz w:val="24"/>
                <w:szCs w:val="24"/>
              </w:rPr>
            </w:pPr>
            <w:r>
              <w:rPr>
                <w:rFonts w:hint="eastAsia" w:ascii="黑体" w:hAnsi="黑体" w:eastAsia="黑体" w:cs="黑体"/>
                <w:kern w:val="0"/>
                <w:sz w:val="24"/>
                <w:szCs w:val="24"/>
                <w:lang w:val="en-US" w:eastAsia="zh-CN" w:bidi="ar"/>
              </w:rPr>
              <w:t>0 </w:t>
            </w:r>
          </w:p>
        </w:tc>
        <w:tc>
          <w:tcPr>
            <w:tcW w:w="651" w:type="dxa"/>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leftChars="0" w:right="0" w:rightChars="0" w:firstLine="0" w:firstLine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651" w:type="dxa"/>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leftChars="0" w:right="0" w:rightChars="0" w:firstLine="0" w:firstLineChars="0"/>
              <w:jc w:val="both"/>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c>
          <w:tcPr>
            <w:tcW w:w="651" w:type="dxa"/>
            <w:tcBorders>
              <w:top w:val="nil"/>
              <w:left w:val="single" w:color="auto" w:sz="8" w:space="0"/>
              <w:bottom w:val="single" w:color="auto" w:sz="8" w:space="0"/>
              <w:right w:val="single" w:color="auto" w:sz="8" w:space="0"/>
            </w:tcBorders>
            <w:noWrap w:val="0"/>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75" w:beforeAutospacing="0" w:after="0" w:afterAutospacing="0" w:line="560" w:lineRule="exact"/>
              <w:ind w:left="0" w:leftChars="0" w:right="0" w:rightChars="0" w:firstLine="0" w:firstLineChars="0"/>
              <w:jc w:val="both"/>
              <w:textAlignment w:val="auto"/>
              <w:rPr>
                <w:rFonts w:hint="default" w:ascii="黑体" w:hAnsi="黑体" w:eastAsia="黑体" w:cs="黑体"/>
                <w:kern w:val="2"/>
                <w:sz w:val="24"/>
                <w:szCs w:val="24"/>
                <w:lang w:val="en-US" w:eastAsia="zh-CN" w:bidi="ar-SA"/>
              </w:rPr>
            </w:pPr>
            <w:r>
              <w:rPr>
                <w:rFonts w:hint="eastAsia" w:ascii="黑体" w:hAnsi="黑体" w:eastAsia="黑体" w:cs="黑体"/>
                <w:kern w:val="0"/>
                <w:sz w:val="24"/>
                <w:szCs w:val="24"/>
                <w:lang w:val="en-US" w:eastAsia="zh-CN" w:bidi="ar"/>
              </w:rPr>
              <w:t>0 </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firstLine="640" w:firstLineChars="200"/>
        <w:jc w:val="both"/>
        <w:textAlignment w:val="auto"/>
        <w:outlineLvl w:val="9"/>
        <w:rPr>
          <w:rFonts w:hint="eastAsia" w:ascii="Times New Roman" w:hAnsi="Times New Roman" w:eastAsia="黑体" w:cs="Times New Roman"/>
          <w:color w:val="00000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firstLine="640" w:firstLineChars="200"/>
        <w:jc w:val="both"/>
        <w:textAlignment w:val="auto"/>
        <w:outlineLvl w:val="9"/>
        <w:rPr>
          <w:rFonts w:hint="eastAsia"/>
          <w:lang w:val="en-US" w:eastAsia="zh-CN"/>
        </w:rPr>
      </w:pPr>
      <w:r>
        <w:rPr>
          <w:rFonts w:hint="eastAsia" w:ascii="Times New Roman" w:hAnsi="Times New Roman" w:eastAsia="黑体" w:cs="Times New Roman"/>
          <w:color w:val="000000"/>
          <w:sz w:val="32"/>
          <w:szCs w:val="32"/>
          <w:lang w:val="en-US" w:eastAsia="zh-CN"/>
        </w:rPr>
        <w:t>五、</w:t>
      </w:r>
      <w:r>
        <w:rPr>
          <w:rFonts w:hint="default" w:ascii="Times New Roman" w:hAnsi="Times New Roman" w:eastAsia="黑体" w:cs="Times New Roman"/>
          <w:color w:val="000000"/>
          <w:sz w:val="32"/>
          <w:szCs w:val="32"/>
          <w:lang w:val="en-US" w:eastAsia="zh-CN"/>
        </w:rPr>
        <w:t>政府信息公开工作存在的主要问题及改进情况</w:t>
      </w:r>
      <w:r>
        <w:rPr>
          <w:rFonts w:hint="eastAsia"/>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firstLine="640" w:firstLineChars="200"/>
        <w:jc w:val="both"/>
        <w:textAlignment w:val="auto"/>
        <w:outlineLvl w:val="9"/>
        <w:rPr>
          <w:rFonts w:hint="eastAsia" w:ascii="仿宋_GB2312" w:hAnsi="仿宋_GB2312" w:eastAsia="仿宋_GB2312" w:cs="仿宋_GB2312"/>
          <w:i w:val="0"/>
          <w:iCs w:val="0"/>
          <w:caps w:val="0"/>
          <w:color w:val="auto"/>
          <w:spacing w:val="0"/>
          <w:sz w:val="32"/>
          <w:szCs w:val="32"/>
          <w:shd w:val="clear" w:fill="FFFFFF"/>
        </w:rPr>
      </w:pPr>
      <w:r>
        <w:rPr>
          <w:rFonts w:hint="eastAsia" w:ascii="仿宋_GB2312" w:hAnsi="仿宋_GB2312" w:eastAsia="仿宋_GB2312" w:cs="仿宋_GB2312"/>
          <w:i w:val="0"/>
          <w:iCs w:val="0"/>
          <w:caps w:val="0"/>
          <w:color w:val="auto"/>
          <w:spacing w:val="0"/>
          <w:sz w:val="32"/>
          <w:szCs w:val="32"/>
          <w:shd w:val="clear" w:fill="FFFFFF"/>
        </w:rPr>
        <w:t>（一）存在问题。202</w:t>
      </w:r>
      <w:r>
        <w:rPr>
          <w:rFonts w:hint="eastAsia" w:ascii="仿宋_GB2312" w:hAnsi="仿宋_GB2312" w:eastAsia="仿宋_GB2312" w:cs="仿宋_GB2312"/>
          <w:i w:val="0"/>
          <w:iCs w:val="0"/>
          <w:caps w:val="0"/>
          <w:color w:val="auto"/>
          <w:spacing w:val="0"/>
          <w:sz w:val="32"/>
          <w:szCs w:val="32"/>
          <w:shd w:val="clear" w:fill="FFFFFF"/>
          <w:lang w:val="en-US" w:eastAsia="zh-CN"/>
        </w:rPr>
        <w:t>2年</w:t>
      </w:r>
      <w:r>
        <w:rPr>
          <w:rFonts w:hint="eastAsia" w:ascii="仿宋_GB2312" w:hAnsi="仿宋_GB2312" w:eastAsia="仿宋_GB2312" w:cs="仿宋_GB2312"/>
          <w:i w:val="0"/>
          <w:iCs w:val="0"/>
          <w:caps w:val="0"/>
          <w:color w:val="auto"/>
          <w:spacing w:val="0"/>
          <w:sz w:val="32"/>
          <w:szCs w:val="32"/>
          <w:shd w:val="clear" w:fill="FFFFFF"/>
        </w:rPr>
        <w:t>，</w:t>
      </w:r>
      <w:r>
        <w:rPr>
          <w:rFonts w:hint="eastAsia" w:ascii="仿宋_GB2312" w:hAnsi="仿宋_GB2312" w:eastAsia="仿宋_GB2312" w:cs="仿宋_GB2312"/>
          <w:i w:val="0"/>
          <w:iCs w:val="0"/>
          <w:caps w:val="0"/>
          <w:color w:val="auto"/>
          <w:spacing w:val="0"/>
          <w:sz w:val="32"/>
          <w:szCs w:val="32"/>
          <w:shd w:val="clear" w:fill="FFFFFF"/>
          <w:lang w:val="en-US" w:eastAsia="zh-CN"/>
        </w:rPr>
        <w:t>我区</w:t>
      </w:r>
      <w:r>
        <w:rPr>
          <w:rFonts w:hint="eastAsia" w:ascii="仿宋_GB2312" w:hAnsi="仿宋_GB2312" w:eastAsia="仿宋_GB2312" w:cs="仿宋_GB2312"/>
          <w:i w:val="0"/>
          <w:iCs w:val="0"/>
          <w:caps w:val="0"/>
          <w:color w:val="auto"/>
          <w:spacing w:val="0"/>
          <w:sz w:val="32"/>
          <w:szCs w:val="32"/>
          <w:shd w:val="clear" w:fill="FFFFFF"/>
        </w:rPr>
        <w:t>政府信息公开工作取得了一定的成绩，但还存在一些问题有待改进：主要是信息发布和更新效率有待提高；主动公开政府信息的数量还需要增加，公开的内容还需要进一步细化；宣传和引导工作需要进一步加强，政府信息公开的形式还有待创新，队伍建设还有待进一步加强。</w:t>
      </w:r>
    </w:p>
    <w:p>
      <w:pPr>
        <w:pStyle w:val="2"/>
        <w:rPr>
          <w:rFonts w:hint="eastAsia"/>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0" w:beforeAutospacing="0" w:after="225" w:afterAutospacing="0" w:line="560" w:lineRule="exact"/>
        <w:ind w:left="0" w:right="0" w:firstLine="42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aps w:val="0"/>
          <w:color w:val="auto"/>
          <w:spacing w:val="0"/>
          <w:sz w:val="32"/>
          <w:szCs w:val="32"/>
          <w:shd w:val="clear" w:fill="FFFFFF"/>
        </w:rPr>
        <w:t>（二）改进措施。针对上述问题，在今后的工作中，</w:t>
      </w:r>
      <w:r>
        <w:rPr>
          <w:rFonts w:hint="eastAsia" w:ascii="仿宋_GB2312" w:hAnsi="仿宋_GB2312" w:eastAsia="仿宋_GB2312" w:cs="仿宋_GB2312"/>
          <w:i w:val="0"/>
          <w:iCs w:val="0"/>
          <w:caps w:val="0"/>
          <w:color w:val="auto"/>
          <w:spacing w:val="0"/>
          <w:sz w:val="32"/>
          <w:szCs w:val="32"/>
          <w:shd w:val="clear" w:fill="FFFFFF"/>
          <w:lang w:val="en-US" w:eastAsia="zh-CN"/>
        </w:rPr>
        <w:t>我区</w:t>
      </w:r>
      <w:r>
        <w:rPr>
          <w:rFonts w:hint="eastAsia" w:ascii="仿宋_GB2312" w:hAnsi="仿宋_GB2312" w:eastAsia="仿宋_GB2312" w:cs="仿宋_GB2312"/>
          <w:i w:val="0"/>
          <w:iCs w:val="0"/>
          <w:caps w:val="0"/>
          <w:color w:val="auto"/>
          <w:spacing w:val="0"/>
          <w:sz w:val="32"/>
          <w:szCs w:val="32"/>
          <w:shd w:val="clear" w:fill="FFFFFF"/>
        </w:rPr>
        <w:t>将按照《条例》要求，认真研究，采取以下措施加以改进。一是提高思想认识。认真学习《条例》等法律法规，进一步提高思想认识，不断增强做好政府信息公开工作的责任感和使命感。二是摆上重要日程。将政府信息公开作为</w:t>
      </w:r>
      <w:r>
        <w:rPr>
          <w:rFonts w:hint="eastAsia" w:ascii="仿宋_GB2312" w:hAnsi="仿宋_GB2312" w:eastAsia="仿宋_GB2312" w:cs="仿宋_GB2312"/>
          <w:i w:val="0"/>
          <w:iCs w:val="0"/>
          <w:caps w:val="0"/>
          <w:color w:val="auto"/>
          <w:spacing w:val="0"/>
          <w:sz w:val="32"/>
          <w:szCs w:val="32"/>
          <w:shd w:val="clear" w:fill="FFFFFF"/>
          <w:lang w:val="en-US" w:eastAsia="zh-CN"/>
        </w:rPr>
        <w:t>我区</w:t>
      </w:r>
      <w:r>
        <w:rPr>
          <w:rFonts w:hint="eastAsia" w:ascii="仿宋_GB2312" w:hAnsi="仿宋_GB2312" w:eastAsia="仿宋_GB2312" w:cs="仿宋_GB2312"/>
          <w:i w:val="0"/>
          <w:iCs w:val="0"/>
          <w:caps w:val="0"/>
          <w:color w:val="auto"/>
          <w:spacing w:val="0"/>
          <w:sz w:val="32"/>
          <w:szCs w:val="32"/>
          <w:shd w:val="clear" w:fill="FFFFFF"/>
        </w:rPr>
        <w:t>的</w:t>
      </w:r>
      <w:r>
        <w:rPr>
          <w:rFonts w:hint="eastAsia" w:ascii="仿宋_GB2312" w:hAnsi="仿宋_GB2312" w:eastAsia="仿宋_GB2312" w:cs="仿宋_GB2312"/>
          <w:i w:val="0"/>
          <w:iCs w:val="0"/>
          <w:caps w:val="0"/>
          <w:color w:val="auto"/>
          <w:spacing w:val="0"/>
          <w:sz w:val="32"/>
          <w:szCs w:val="32"/>
          <w:shd w:val="clear" w:fill="FFFFFF"/>
          <w:lang w:val="en-US" w:eastAsia="zh-CN"/>
        </w:rPr>
        <w:t>重点</w:t>
      </w:r>
      <w:r>
        <w:rPr>
          <w:rFonts w:hint="eastAsia" w:ascii="仿宋_GB2312" w:hAnsi="仿宋_GB2312" w:eastAsia="仿宋_GB2312" w:cs="仿宋_GB2312"/>
          <w:i w:val="0"/>
          <w:iCs w:val="0"/>
          <w:caps w:val="0"/>
          <w:color w:val="auto"/>
          <w:spacing w:val="0"/>
          <w:sz w:val="32"/>
          <w:szCs w:val="32"/>
          <w:shd w:val="clear" w:fill="FFFFFF"/>
        </w:rPr>
        <w:t>工作，按照“公开为原则，不公开为例外”的要求，凡是需要公开的政务信息，都要主动及时公开，做到真实、具体、全面。三是注意收集新情况，总结新经验。及时处理网上留言、咨询和相关依申请工作，认真做好相关记录，做到件件有着落，事事有回音，认真履行政府信息公开的各项职责，主动接受社会监督，为广大公众做好服务工作。四是加强政府信息公开工作队伍建设。</w:t>
      </w:r>
      <w:r>
        <w:rPr>
          <w:rFonts w:hint="eastAsia" w:ascii="仿宋_GB2312" w:hAnsi="仿宋_GB2312" w:eastAsia="仿宋_GB2312" w:cs="仿宋_GB2312"/>
          <w:i w:val="0"/>
          <w:iCs w:val="0"/>
          <w:caps w:val="0"/>
          <w:color w:val="auto"/>
          <w:spacing w:val="0"/>
          <w:sz w:val="32"/>
          <w:szCs w:val="32"/>
          <w:shd w:val="clear" w:fill="FFFFFF"/>
          <w:lang w:val="en-US" w:eastAsia="zh-CN"/>
        </w:rPr>
        <w:t>定期组织</w:t>
      </w:r>
      <w:r>
        <w:rPr>
          <w:rFonts w:hint="eastAsia" w:ascii="仿宋_GB2312" w:hAnsi="仿宋_GB2312" w:eastAsia="仿宋_GB2312" w:cs="仿宋_GB2312"/>
          <w:i w:val="0"/>
          <w:iCs w:val="0"/>
          <w:caps w:val="0"/>
          <w:color w:val="auto"/>
          <w:spacing w:val="0"/>
          <w:sz w:val="32"/>
          <w:szCs w:val="32"/>
          <w:shd w:val="clear" w:fill="FFFFFF"/>
        </w:rPr>
        <w:t>政府信息公开</w:t>
      </w:r>
      <w:r>
        <w:rPr>
          <w:rFonts w:hint="eastAsia" w:ascii="仿宋_GB2312" w:hAnsi="仿宋_GB2312" w:eastAsia="仿宋_GB2312" w:cs="仿宋_GB2312"/>
          <w:i w:val="0"/>
          <w:iCs w:val="0"/>
          <w:caps w:val="0"/>
          <w:color w:val="auto"/>
          <w:spacing w:val="0"/>
          <w:sz w:val="32"/>
          <w:szCs w:val="32"/>
          <w:shd w:val="clear" w:fill="FFFFFF"/>
          <w:lang w:val="en-US" w:eastAsia="zh-CN"/>
        </w:rPr>
        <w:t>工作人员学习其他县市区优秀经验</w:t>
      </w:r>
      <w:r>
        <w:rPr>
          <w:rFonts w:hint="eastAsia" w:ascii="仿宋_GB2312" w:hAnsi="仿宋_GB2312" w:eastAsia="仿宋_GB2312" w:cs="仿宋_GB2312"/>
          <w:i w:val="0"/>
          <w:iCs w:val="0"/>
          <w:caps w:val="0"/>
          <w:color w:val="auto"/>
          <w:spacing w:val="0"/>
          <w:sz w:val="32"/>
          <w:szCs w:val="32"/>
          <w:shd w:val="clear" w:fill="FFFFFF"/>
        </w:rPr>
        <w:t>，提高工作人员综合素质,更好地适应新形势下对政府信息公开工作的新要求，更高效地做好</w:t>
      </w:r>
      <w:r>
        <w:rPr>
          <w:rFonts w:hint="eastAsia" w:ascii="仿宋_GB2312" w:hAnsi="仿宋_GB2312" w:eastAsia="仿宋_GB2312" w:cs="仿宋_GB2312"/>
          <w:i w:val="0"/>
          <w:iCs w:val="0"/>
          <w:caps w:val="0"/>
          <w:color w:val="auto"/>
          <w:spacing w:val="0"/>
          <w:sz w:val="32"/>
          <w:szCs w:val="32"/>
          <w:shd w:val="clear" w:fill="FFFFFF"/>
          <w:lang w:val="en-US" w:eastAsia="zh-CN"/>
        </w:rPr>
        <w:t>我区的</w:t>
      </w:r>
      <w:r>
        <w:rPr>
          <w:rFonts w:hint="eastAsia" w:ascii="仿宋_GB2312" w:hAnsi="仿宋_GB2312" w:eastAsia="仿宋_GB2312" w:cs="仿宋_GB2312"/>
          <w:i w:val="0"/>
          <w:iCs w:val="0"/>
          <w:caps w:val="0"/>
          <w:color w:val="auto"/>
          <w:spacing w:val="0"/>
          <w:sz w:val="32"/>
          <w:szCs w:val="32"/>
          <w:shd w:val="clear" w:fill="FFFFFF"/>
        </w:rPr>
        <w:t>政府信息公开工作。</w:t>
      </w:r>
    </w:p>
    <w:p>
      <w:pPr>
        <w:keepNext w:val="0"/>
        <w:keepLines w:val="0"/>
        <w:pageBreakBefore w:val="0"/>
        <w:widowControl/>
        <w:numPr>
          <w:ilvl w:val="0"/>
          <w:numId w:val="3"/>
        </w:numPr>
        <w:kinsoku/>
        <w:wordWrap/>
        <w:overflowPunct/>
        <w:topLinePunct w:val="0"/>
        <w:autoSpaceDE/>
        <w:autoSpaceDN/>
        <w:bidi w:val="0"/>
        <w:adjustRightInd/>
        <w:spacing w:line="560" w:lineRule="exact"/>
        <w:ind w:firstLine="640" w:firstLineChars="200"/>
        <w:textAlignment w:val="auto"/>
        <w:rPr>
          <w:rFonts w:hint="eastAsia" w:ascii="黑体" w:hAnsi="黑体" w:eastAsia="黑体" w:cs="黑体"/>
          <w:color w:val="000000"/>
          <w:sz w:val="32"/>
          <w:szCs w:val="32"/>
          <w:lang w:eastAsia="zh-CN"/>
        </w:rPr>
      </w:pPr>
      <w:r>
        <w:rPr>
          <w:rFonts w:hint="eastAsia" w:ascii="黑体" w:hAnsi="黑体" w:eastAsia="黑体" w:cs="黑体"/>
          <w:color w:val="000000"/>
          <w:sz w:val="32"/>
          <w:szCs w:val="32"/>
          <w:lang w:eastAsia="zh-CN"/>
        </w:rPr>
        <w:t>其他需要报告的事项</w:t>
      </w:r>
    </w:p>
    <w:p>
      <w:pPr>
        <w:keepNext w:val="0"/>
        <w:keepLines w:val="0"/>
        <w:pageBreakBefore w:val="0"/>
        <w:widowControl/>
        <w:numPr>
          <w:ilvl w:val="0"/>
          <w:numId w:val="0"/>
        </w:numPr>
        <w:kinsoku/>
        <w:wordWrap/>
        <w:overflowPunct/>
        <w:topLinePunct w:val="0"/>
        <w:autoSpaceDE/>
        <w:autoSpaceDN/>
        <w:bidi w:val="0"/>
        <w:adjustRightInd/>
        <w:spacing w:line="560" w:lineRule="exact"/>
        <w:ind w:firstLine="64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无</w:t>
      </w:r>
    </w:p>
    <w:p>
      <w:pPr>
        <w:pStyle w:val="5"/>
        <w:keepNext w:val="0"/>
        <w:keepLines w:val="0"/>
        <w:pageBreakBefore w:val="0"/>
        <w:kinsoku/>
        <w:wordWrap/>
        <w:overflowPunct/>
        <w:topLinePunct w:val="0"/>
        <w:autoSpaceDE/>
        <w:autoSpaceDN/>
        <w:bidi w:val="0"/>
        <w:adjustRightInd/>
        <w:snapToGrid w:val="0"/>
        <w:spacing w:before="0" w:beforeAutospacing="0" w:after="0" w:afterAutospacing="0" w:line="560" w:lineRule="exact"/>
        <w:ind w:left="-235" w:firstLine="640"/>
        <w:jc w:val="center"/>
        <w:textAlignment w:val="auto"/>
        <w:rPr>
          <w:rFonts w:hint="default" w:ascii="仿宋_GB2312" w:hAnsi="仿宋_GB2312" w:eastAsia="仿宋_GB2312" w:cs="仿宋_GB2312"/>
          <w:color w:val="000000"/>
          <w:sz w:val="32"/>
          <w:szCs w:val="32"/>
          <w:lang w:val="en-US" w:eastAsia="zh-CN"/>
        </w:rPr>
      </w:pPr>
      <w:r>
        <w:rPr>
          <w:rFonts w:hint="eastAsia" w:ascii="仿宋" w:hAnsi="仿宋" w:eastAsia="仿宋"/>
          <w:color w:val="000000"/>
          <w:sz w:val="32"/>
          <w:szCs w:val="32"/>
          <w:lang w:val="en-US" w:eastAsia="zh-CN"/>
        </w:rPr>
        <w:t xml:space="preserve">     </w:t>
      </w:r>
    </w:p>
    <w:sectPr>
      <w:footerReference r:id="rId3" w:type="default"/>
      <w:pgSz w:w="11906" w:h="16838"/>
      <w:pgMar w:top="2098" w:right="1304" w:bottom="1928"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DDc8oBAACc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TEcYsDv3z/dvnx6/LzK1lW&#10;q1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QDDc8oBAACcAwAADgAAAAAAAAABACAAAAAeAQAAZHJzL2Uyb0Rv&#10;Yy54bWxQSwUGAAAAAAYABgBZAQAAWgUAAAAA&#10;">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3C30EF"/>
    <w:multiLevelType w:val="singleLevel"/>
    <w:tmpl w:val="D73C30EF"/>
    <w:lvl w:ilvl="0" w:tentative="0">
      <w:start w:val="3"/>
      <w:numFmt w:val="chineseCounting"/>
      <w:suff w:val="nothing"/>
      <w:lvlText w:val="%1、"/>
      <w:lvlJc w:val="left"/>
      <w:rPr>
        <w:rFonts w:hint="eastAsia"/>
      </w:rPr>
    </w:lvl>
  </w:abstractNum>
  <w:abstractNum w:abstractNumId="1">
    <w:nsid w:val="3DD49F32"/>
    <w:multiLevelType w:val="singleLevel"/>
    <w:tmpl w:val="3DD49F32"/>
    <w:lvl w:ilvl="0" w:tentative="0">
      <w:start w:val="1"/>
      <w:numFmt w:val="chineseCounting"/>
      <w:suff w:val="nothing"/>
      <w:lvlText w:val="（%1）"/>
      <w:lvlJc w:val="left"/>
      <w:rPr>
        <w:rFonts w:hint="eastAsia"/>
      </w:rPr>
    </w:lvl>
  </w:abstractNum>
  <w:abstractNum w:abstractNumId="2">
    <w:nsid w:val="7A5E60FB"/>
    <w:multiLevelType w:val="singleLevel"/>
    <w:tmpl w:val="7A5E60FB"/>
    <w:lvl w:ilvl="0" w:tentative="0">
      <w:start w:val="6"/>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RjZWEzYTIzYzdjNjkyZmM3MWU5YjEzZjZjZWFiNDcifQ=="/>
  </w:docVars>
  <w:rsids>
    <w:rsidRoot w:val="00000000"/>
    <w:rsid w:val="00DD0165"/>
    <w:rsid w:val="02226AA5"/>
    <w:rsid w:val="04307445"/>
    <w:rsid w:val="06AB5E3C"/>
    <w:rsid w:val="06D418A0"/>
    <w:rsid w:val="06E15F8D"/>
    <w:rsid w:val="09474128"/>
    <w:rsid w:val="097D3C5C"/>
    <w:rsid w:val="09E518F1"/>
    <w:rsid w:val="0A982E07"/>
    <w:rsid w:val="0AB53751"/>
    <w:rsid w:val="0C2801BA"/>
    <w:rsid w:val="0C43229A"/>
    <w:rsid w:val="0E042561"/>
    <w:rsid w:val="0E2624D8"/>
    <w:rsid w:val="10BD35C7"/>
    <w:rsid w:val="116005FC"/>
    <w:rsid w:val="13AF175D"/>
    <w:rsid w:val="144673B1"/>
    <w:rsid w:val="150B65F8"/>
    <w:rsid w:val="163A1216"/>
    <w:rsid w:val="163B58C5"/>
    <w:rsid w:val="16D57191"/>
    <w:rsid w:val="17AD5A18"/>
    <w:rsid w:val="18331B04"/>
    <w:rsid w:val="1CA92C52"/>
    <w:rsid w:val="1CE97FE5"/>
    <w:rsid w:val="1D266E83"/>
    <w:rsid w:val="1F306979"/>
    <w:rsid w:val="24A70634"/>
    <w:rsid w:val="24FD6DBC"/>
    <w:rsid w:val="27D8088F"/>
    <w:rsid w:val="281C2908"/>
    <w:rsid w:val="28E868B0"/>
    <w:rsid w:val="2B7165F9"/>
    <w:rsid w:val="2C197C11"/>
    <w:rsid w:val="2E690493"/>
    <w:rsid w:val="32012285"/>
    <w:rsid w:val="335C6412"/>
    <w:rsid w:val="34AA2DD1"/>
    <w:rsid w:val="34FB3B7C"/>
    <w:rsid w:val="358908DA"/>
    <w:rsid w:val="363475D8"/>
    <w:rsid w:val="36FF4A43"/>
    <w:rsid w:val="386677F1"/>
    <w:rsid w:val="3C3E4D0D"/>
    <w:rsid w:val="3DB168F2"/>
    <w:rsid w:val="3E3131DD"/>
    <w:rsid w:val="3E3F6B1A"/>
    <w:rsid w:val="3E5E3444"/>
    <w:rsid w:val="3F11495A"/>
    <w:rsid w:val="426806C0"/>
    <w:rsid w:val="42AE5C8C"/>
    <w:rsid w:val="43376172"/>
    <w:rsid w:val="48E13E6F"/>
    <w:rsid w:val="49D56585"/>
    <w:rsid w:val="49E90F3E"/>
    <w:rsid w:val="4C751EB0"/>
    <w:rsid w:val="4E4A01ED"/>
    <w:rsid w:val="4FC255FB"/>
    <w:rsid w:val="4FF2221B"/>
    <w:rsid w:val="513F5357"/>
    <w:rsid w:val="52294C08"/>
    <w:rsid w:val="5321182D"/>
    <w:rsid w:val="53966D85"/>
    <w:rsid w:val="53A56FC8"/>
    <w:rsid w:val="5416592B"/>
    <w:rsid w:val="545F361A"/>
    <w:rsid w:val="5606593D"/>
    <w:rsid w:val="567C466A"/>
    <w:rsid w:val="573D0277"/>
    <w:rsid w:val="584026D9"/>
    <w:rsid w:val="593E3B98"/>
    <w:rsid w:val="5AC715D3"/>
    <w:rsid w:val="5AD7507F"/>
    <w:rsid w:val="5B9C55D5"/>
    <w:rsid w:val="5CCF57DB"/>
    <w:rsid w:val="5D250222"/>
    <w:rsid w:val="5D33111C"/>
    <w:rsid w:val="5D5C0B3B"/>
    <w:rsid w:val="5F351B48"/>
    <w:rsid w:val="5F7E529D"/>
    <w:rsid w:val="607F1367"/>
    <w:rsid w:val="60DF5195"/>
    <w:rsid w:val="636C4F9B"/>
    <w:rsid w:val="63E8499D"/>
    <w:rsid w:val="64322AF9"/>
    <w:rsid w:val="643F0D73"/>
    <w:rsid w:val="64816E42"/>
    <w:rsid w:val="65534935"/>
    <w:rsid w:val="67516A8F"/>
    <w:rsid w:val="67582877"/>
    <w:rsid w:val="67832C2A"/>
    <w:rsid w:val="6A210E3A"/>
    <w:rsid w:val="6B5B74F1"/>
    <w:rsid w:val="6CF4731D"/>
    <w:rsid w:val="6D035033"/>
    <w:rsid w:val="6ECB7689"/>
    <w:rsid w:val="6F02665C"/>
    <w:rsid w:val="6F2605B7"/>
    <w:rsid w:val="6F771D08"/>
    <w:rsid w:val="70226E34"/>
    <w:rsid w:val="73391965"/>
    <w:rsid w:val="76C03F95"/>
    <w:rsid w:val="773A78A3"/>
    <w:rsid w:val="7A9D3EEA"/>
    <w:rsid w:val="7E3A27D6"/>
    <w:rsid w:val="7ECA0929"/>
    <w:rsid w:val="7EF503C6"/>
    <w:rsid w:val="7F0078C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黑体"/>
      <w:kern w:val="2"/>
      <w:sz w:val="21"/>
      <w:szCs w:val="24"/>
      <w:lang w:val="en-US" w:eastAsia="zh-CN" w:bidi="ar-SA"/>
    </w:rPr>
  </w:style>
  <w:style w:type="character" w:default="1" w:styleId="7">
    <w:name w:val="Default Paragraph Font"/>
    <w:semiHidden/>
    <w:qFormat/>
    <w:uiPriority w:val="0"/>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footer"/>
    <w:basedOn w:val="1"/>
    <w:autoRedefine/>
    <w:qFormat/>
    <w:uiPriority w:val="0"/>
    <w:pPr>
      <w:tabs>
        <w:tab w:val="center" w:pos="4153"/>
        <w:tab w:val="right" w:pos="8306"/>
      </w:tabs>
      <w:snapToGrid w:val="0"/>
      <w:jc w:val="left"/>
    </w:pPr>
    <w:rPr>
      <w:sz w:val="18"/>
      <w:szCs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8">
    <w:name w:val="page number"/>
    <w:basedOn w:val="7"/>
    <w:qFormat/>
    <w:uiPriority w:val="0"/>
  </w:style>
  <w:style w:type="paragraph" w:customStyle="1" w:styleId="9">
    <w:name w:val="p0"/>
    <w:basedOn w:val="1"/>
    <w:autoRedefine/>
    <w:qFormat/>
    <w:uiPriority w:val="99"/>
    <w:rPr>
      <w:kern w:val="0"/>
    </w:rPr>
  </w:style>
  <w:style w:type="character" w:customStyle="1" w:styleId="10">
    <w:name w:val="s3"/>
    <w:basedOn w:val="7"/>
    <w:autoRedefine/>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2874</Words>
  <Characters>2961</Characters>
  <Lines>0</Lines>
  <Paragraphs>0</Paragraphs>
  <TotalTime>27</TotalTime>
  <ScaleCrop>false</ScaleCrop>
  <LinksUpToDate>false</LinksUpToDate>
  <CharactersWithSpaces>3114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2020-01-15T01:13:00Z</dcterms:created>
  <dc:creator>蓝蓝</dc:creator>
  <cp:lastModifiedBy>WPS_1569305028</cp:lastModifiedBy>
  <cp:lastPrinted>2021-02-09T08:08:00Z</cp:lastPrinted>
  <dcterms:modified xsi:type="dcterms:W3CDTF">2024-03-07T01:11:55Z</dcterms:modified>
  <dc:title>2019年金林区政府信息公开工作年度报告</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B06F0BDECC4B4257985AAF85D5C46DE0</vt:lpwstr>
  </property>
</Properties>
</file>